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559"/>
        <w:gridCol w:w="2798"/>
      </w:tblGrid>
      <w:tr w:rsidR="00971B0B" w:rsidRPr="00F7792A" w:rsidTr="00F7792A">
        <w:trPr>
          <w:trHeight w:val="2126"/>
        </w:trPr>
        <w:tc>
          <w:tcPr>
            <w:tcW w:w="5387" w:type="dxa"/>
          </w:tcPr>
          <w:p w:rsidR="00971B0B" w:rsidRPr="00F7792A" w:rsidRDefault="00971B0B" w:rsidP="00F7792A">
            <w:pPr>
              <w:widowControl/>
              <w:jc w:val="both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  <w:tc>
          <w:tcPr>
            <w:tcW w:w="2798" w:type="dxa"/>
            <w:vMerge w:val="restart"/>
          </w:tcPr>
          <w:p w:rsidR="00971B0B" w:rsidRPr="00F7792A" w:rsidRDefault="006342D4" w:rsidP="00F7792A">
            <w:pPr>
              <w:widowControl/>
              <w:jc w:val="right"/>
              <w:rPr>
                <w:szCs w:val="22"/>
              </w:rPr>
            </w:pPr>
            <w:r w:rsidRPr="006342D4">
              <w:rPr>
                <w:noProof/>
                <w:szCs w:val="22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6.5pt;height:147.75pt;visibility:visible">
                  <v:imagedata r:id="rId7" o:title=""/>
                </v:shape>
              </w:pict>
            </w:r>
          </w:p>
        </w:tc>
      </w:tr>
      <w:tr w:rsidR="00971B0B" w:rsidRPr="00F7792A" w:rsidTr="00F7792A">
        <w:trPr>
          <w:trHeight w:val="964"/>
        </w:trPr>
        <w:tc>
          <w:tcPr>
            <w:tcW w:w="5387" w:type="dxa"/>
            <w:vMerge w:val="restart"/>
          </w:tcPr>
          <w:p w:rsidR="00971B0B" w:rsidRPr="00F7792A" w:rsidRDefault="00971B0B" w:rsidP="00F7792A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</w:tr>
      <w:tr w:rsidR="00971B0B" w:rsidRPr="00F7792A" w:rsidTr="00F7792A">
        <w:trPr>
          <w:trHeight w:val="359"/>
        </w:trPr>
        <w:tc>
          <w:tcPr>
            <w:tcW w:w="5387" w:type="dxa"/>
            <w:vMerge/>
          </w:tcPr>
          <w:p w:rsidR="00971B0B" w:rsidRPr="00F7792A" w:rsidRDefault="00971B0B" w:rsidP="00F7792A">
            <w:pPr>
              <w:widowControl/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  <w:tc>
          <w:tcPr>
            <w:tcW w:w="2798" w:type="dxa"/>
          </w:tcPr>
          <w:p w:rsidR="00971B0B" w:rsidRPr="00F7792A" w:rsidRDefault="00971B0B" w:rsidP="00F7792A">
            <w:pPr>
              <w:jc w:val="center"/>
              <w:rPr>
                <w:szCs w:val="22"/>
              </w:rPr>
            </w:pPr>
          </w:p>
        </w:tc>
      </w:tr>
    </w:tbl>
    <w:p w:rsidR="00971B0B" w:rsidRDefault="00971B0B">
      <w:pPr>
        <w:rPr>
          <w:sz w:val="22"/>
          <w:szCs w:val="22"/>
        </w:rPr>
      </w:pPr>
    </w:p>
    <w:p w:rsidR="00971B0B" w:rsidRPr="000573B0" w:rsidRDefault="00971B0B">
      <w:pPr>
        <w:widowControl/>
        <w:jc w:val="right"/>
        <w:rPr>
          <w:szCs w:val="22"/>
        </w:rPr>
      </w:pPr>
      <w:r w:rsidRPr="000573B0">
        <w:rPr>
          <w:i/>
          <w:sz w:val="40"/>
          <w:szCs w:val="40"/>
        </w:rPr>
        <w:t xml:space="preserve">Delegated </w:t>
      </w:r>
      <w:r w:rsidR="00D53498" w:rsidRPr="000573B0">
        <w:rPr>
          <w:i/>
          <w:sz w:val="40"/>
          <w:szCs w:val="40"/>
        </w:rPr>
        <w:t>r</w:t>
      </w:r>
      <w:r w:rsidRPr="000573B0">
        <w:rPr>
          <w:i/>
          <w:sz w:val="40"/>
          <w:szCs w:val="40"/>
        </w:rPr>
        <w:t>eport</w:t>
      </w:r>
      <w:r w:rsidR="00D53498" w:rsidRPr="000573B0">
        <w:rPr>
          <w:i/>
          <w:sz w:val="40"/>
          <w:szCs w:val="40"/>
        </w:rPr>
        <w:t xml:space="preserve"> for non-material variation (NMV)</w:t>
      </w:r>
    </w:p>
    <w:p w:rsidR="00971B0B" w:rsidRDefault="00971B0B">
      <w:pPr>
        <w:jc w:val="right"/>
        <w:rPr>
          <w:bCs/>
          <w:i/>
          <w:sz w:val="23"/>
          <w:szCs w:val="23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28"/>
        <w:gridCol w:w="7261"/>
      </w:tblGrid>
      <w:tr w:rsidR="0054356E" w:rsidRPr="005E2DEE" w:rsidTr="00664A9B">
        <w:tc>
          <w:tcPr>
            <w:tcW w:w="2628" w:type="dxa"/>
            <w:shd w:val="clear" w:color="auto" w:fill="auto"/>
          </w:tcPr>
          <w:p w:rsidR="0054356E" w:rsidRPr="005E2DEE" w:rsidRDefault="0054356E">
            <w:pPr>
              <w:jc w:val="both"/>
              <w:rPr>
                <w:b/>
                <w:sz w:val="22"/>
                <w:szCs w:val="22"/>
              </w:rPr>
            </w:pPr>
            <w:r w:rsidRPr="005E2DEE">
              <w:rPr>
                <w:b/>
                <w:sz w:val="22"/>
                <w:szCs w:val="22"/>
              </w:rPr>
              <w:t>Application Number:</w:t>
            </w:r>
          </w:p>
        </w:tc>
        <w:tc>
          <w:tcPr>
            <w:tcW w:w="7261" w:type="dxa"/>
            <w:shd w:val="clear" w:color="auto" w:fill="auto"/>
          </w:tcPr>
          <w:p w:rsidR="0054356E" w:rsidRPr="005E2DEE" w:rsidRDefault="00657183" w:rsidP="00A23A66">
            <w:pPr>
              <w:ind w:right="6"/>
              <w:jc w:val="both"/>
              <w:rPr>
                <w:sz w:val="22"/>
                <w:szCs w:val="22"/>
              </w:rPr>
            </w:pPr>
            <w:r w:rsidRPr="00657183">
              <w:rPr>
                <w:sz w:val="22"/>
                <w:szCs w:val="22"/>
              </w:rPr>
              <w:t>2013/0267/DET</w:t>
            </w:r>
          </w:p>
        </w:tc>
      </w:tr>
      <w:tr w:rsidR="0054356E" w:rsidRPr="005E2DEE" w:rsidTr="00664A9B">
        <w:tc>
          <w:tcPr>
            <w:tcW w:w="2628" w:type="dxa"/>
            <w:shd w:val="clear" w:color="auto" w:fill="auto"/>
          </w:tcPr>
          <w:p w:rsidR="0054356E" w:rsidRPr="005E2DEE" w:rsidRDefault="00543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1" w:type="dxa"/>
            <w:shd w:val="clear" w:color="auto" w:fill="auto"/>
          </w:tcPr>
          <w:p w:rsidR="0054356E" w:rsidRPr="005E2DEE" w:rsidRDefault="0054356E" w:rsidP="003C0B6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54356E" w:rsidRPr="005E2DEE" w:rsidTr="0054356E">
        <w:trPr>
          <w:trHeight w:val="319"/>
        </w:trPr>
        <w:tc>
          <w:tcPr>
            <w:tcW w:w="2628" w:type="dxa"/>
          </w:tcPr>
          <w:p w:rsidR="0054356E" w:rsidRPr="005E2DEE" w:rsidRDefault="0054356E">
            <w:pPr>
              <w:rPr>
                <w:b/>
                <w:bCs/>
                <w:sz w:val="22"/>
                <w:szCs w:val="22"/>
              </w:rPr>
            </w:pPr>
            <w:r w:rsidRPr="005E2DEE">
              <w:rPr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7261" w:type="dxa"/>
          </w:tcPr>
          <w:p w:rsidR="0054356E" w:rsidRPr="005E2DEE" w:rsidRDefault="00657183" w:rsidP="00657183">
            <w:pPr>
              <w:ind w:right="6"/>
              <w:jc w:val="both"/>
              <w:rPr>
                <w:sz w:val="22"/>
                <w:szCs w:val="22"/>
              </w:rPr>
            </w:pPr>
            <w:r w:rsidRPr="00657183">
              <w:rPr>
                <w:sz w:val="22"/>
                <w:szCs w:val="22"/>
              </w:rPr>
              <w:t>Ledard Farm</w:t>
            </w:r>
            <w:r>
              <w:rPr>
                <w:sz w:val="22"/>
                <w:szCs w:val="22"/>
              </w:rPr>
              <w:t xml:space="preserve">, </w:t>
            </w:r>
            <w:r w:rsidRPr="00657183">
              <w:rPr>
                <w:sz w:val="22"/>
                <w:szCs w:val="22"/>
              </w:rPr>
              <w:t>Aberfoyle</w:t>
            </w:r>
            <w:r>
              <w:rPr>
                <w:sz w:val="22"/>
                <w:szCs w:val="22"/>
              </w:rPr>
              <w:t xml:space="preserve">, </w:t>
            </w:r>
            <w:r w:rsidRPr="00657183">
              <w:rPr>
                <w:sz w:val="22"/>
                <w:szCs w:val="22"/>
              </w:rPr>
              <w:t>Stirling</w:t>
            </w:r>
            <w:r>
              <w:rPr>
                <w:sz w:val="22"/>
                <w:szCs w:val="22"/>
              </w:rPr>
              <w:t xml:space="preserve">, </w:t>
            </w:r>
            <w:r w:rsidRPr="00657183">
              <w:rPr>
                <w:sz w:val="22"/>
                <w:szCs w:val="22"/>
              </w:rPr>
              <w:t>FK8 3TL</w:t>
            </w:r>
          </w:p>
        </w:tc>
      </w:tr>
      <w:tr w:rsidR="0054356E" w:rsidRPr="005E2DEE" w:rsidTr="0054356E">
        <w:tc>
          <w:tcPr>
            <w:tcW w:w="2628" w:type="dxa"/>
          </w:tcPr>
          <w:p w:rsidR="0054356E" w:rsidRPr="005E2DEE" w:rsidRDefault="0054356E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5E2DEE" w:rsidRDefault="0054356E">
            <w:pPr>
              <w:rPr>
                <w:color w:val="FF0000"/>
                <w:sz w:val="22"/>
                <w:szCs w:val="22"/>
              </w:rPr>
            </w:pPr>
          </w:p>
        </w:tc>
      </w:tr>
      <w:tr w:rsidR="0054356E" w:rsidRPr="005E2DEE" w:rsidTr="0054356E">
        <w:tc>
          <w:tcPr>
            <w:tcW w:w="2628" w:type="dxa"/>
          </w:tcPr>
          <w:p w:rsidR="0054356E" w:rsidRPr="005E2DEE" w:rsidRDefault="0054356E" w:rsidP="00D53498">
            <w:pPr>
              <w:jc w:val="both"/>
              <w:rPr>
                <w:b/>
                <w:bCs/>
                <w:sz w:val="22"/>
                <w:szCs w:val="22"/>
              </w:rPr>
            </w:pPr>
            <w:r w:rsidRPr="005E2DEE">
              <w:rPr>
                <w:b/>
                <w:bCs/>
                <w:sz w:val="22"/>
                <w:szCs w:val="22"/>
              </w:rPr>
              <w:t>Approved Development:</w:t>
            </w:r>
          </w:p>
        </w:tc>
        <w:tc>
          <w:tcPr>
            <w:tcW w:w="7261" w:type="dxa"/>
          </w:tcPr>
          <w:p w:rsidR="0054356E" w:rsidRPr="005E2DEE" w:rsidRDefault="00657183">
            <w:pPr>
              <w:jc w:val="both"/>
              <w:rPr>
                <w:sz w:val="22"/>
                <w:szCs w:val="22"/>
              </w:rPr>
            </w:pPr>
            <w:r w:rsidRPr="00657183">
              <w:rPr>
                <w:sz w:val="22"/>
                <w:szCs w:val="22"/>
              </w:rPr>
              <w:t>Construction of a hydro scheme and permanent access track</w:t>
            </w:r>
          </w:p>
        </w:tc>
      </w:tr>
      <w:tr w:rsidR="0054356E" w:rsidRPr="005E2DEE" w:rsidTr="0054356E">
        <w:tc>
          <w:tcPr>
            <w:tcW w:w="2628" w:type="dxa"/>
          </w:tcPr>
          <w:p w:rsidR="0054356E" w:rsidRPr="005E2DEE" w:rsidRDefault="005435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5E2DEE" w:rsidRDefault="0054356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4356E" w:rsidRPr="005E2DEE" w:rsidTr="0054356E">
        <w:tc>
          <w:tcPr>
            <w:tcW w:w="2628" w:type="dxa"/>
          </w:tcPr>
          <w:p w:rsidR="0054356E" w:rsidRPr="005E2DEE" w:rsidRDefault="0054356E">
            <w:pPr>
              <w:jc w:val="both"/>
              <w:rPr>
                <w:b/>
                <w:bCs/>
                <w:sz w:val="22"/>
                <w:szCs w:val="22"/>
              </w:rPr>
            </w:pPr>
            <w:r w:rsidRPr="005E2DEE">
              <w:rPr>
                <w:b/>
                <w:bCs/>
                <w:sz w:val="22"/>
                <w:szCs w:val="22"/>
              </w:rPr>
              <w:t xml:space="preserve">Case Officer: </w:t>
            </w:r>
          </w:p>
        </w:tc>
        <w:tc>
          <w:tcPr>
            <w:tcW w:w="7261" w:type="dxa"/>
          </w:tcPr>
          <w:p w:rsidR="0054356E" w:rsidRPr="005E2DEE" w:rsidRDefault="006342D4">
            <w:pPr>
              <w:jc w:val="both"/>
              <w:rPr>
                <w:sz w:val="22"/>
                <w:szCs w:val="22"/>
              </w:rPr>
            </w:pPr>
            <w:r w:rsidRPr="005E2DEE">
              <w:rPr>
                <w:sz w:val="22"/>
                <w:szCs w:val="22"/>
              </w:rPr>
              <w:t>Alison Pairman</w:t>
            </w:r>
          </w:p>
        </w:tc>
      </w:tr>
      <w:tr w:rsidR="0054356E" w:rsidRPr="005E2DEE" w:rsidTr="0054356E">
        <w:tc>
          <w:tcPr>
            <w:tcW w:w="2628" w:type="dxa"/>
          </w:tcPr>
          <w:p w:rsidR="0054356E" w:rsidRPr="005E2DEE" w:rsidRDefault="005435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5E2DEE" w:rsidRDefault="0054356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71B0B" w:rsidRPr="005E2DEE" w:rsidRDefault="00971B0B">
      <w:pPr>
        <w:jc w:val="both"/>
        <w:rPr>
          <w:sz w:val="22"/>
          <w:szCs w:val="22"/>
        </w:rPr>
      </w:pPr>
    </w:p>
    <w:p w:rsidR="00971B0B" w:rsidRPr="005E2DEE" w:rsidRDefault="005545AE">
      <w:pPr>
        <w:jc w:val="both"/>
        <w:rPr>
          <w:sz w:val="22"/>
          <w:szCs w:val="22"/>
        </w:rPr>
      </w:pPr>
      <w:r w:rsidRPr="005E2DEE">
        <w:rPr>
          <w:noProof/>
          <w:sz w:val="22"/>
          <w:szCs w:val="22"/>
          <w:lang w:eastAsia="en-GB"/>
        </w:rPr>
        <w:pict>
          <v:line id="_x0000_s1026" style="position:absolute;left:0;text-align:left;flip:y;z-index:251656704" from="-9pt,1.1pt" to="484.7pt,1.75pt"/>
        </w:pic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75"/>
        <w:gridCol w:w="9514"/>
      </w:tblGrid>
      <w:tr w:rsidR="00D132C3" w:rsidRPr="00E66468" w:rsidTr="007C6AE7">
        <w:tc>
          <w:tcPr>
            <w:tcW w:w="375" w:type="dxa"/>
          </w:tcPr>
          <w:p w:rsidR="00D132C3" w:rsidRPr="00E66468" w:rsidRDefault="00D132C3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D132C3" w:rsidRPr="00E66468" w:rsidRDefault="00D132C3">
            <w:pPr>
              <w:jc w:val="both"/>
              <w:rPr>
                <w:sz w:val="22"/>
                <w:szCs w:val="22"/>
              </w:rPr>
            </w:pPr>
            <w:r w:rsidRPr="00E66468">
              <w:rPr>
                <w:b/>
                <w:bCs/>
                <w:sz w:val="22"/>
                <w:szCs w:val="22"/>
              </w:rPr>
              <w:t>Details of the proposed non-material variations</w:t>
            </w:r>
          </w:p>
        </w:tc>
      </w:tr>
      <w:tr w:rsidR="001D26CD" w:rsidRPr="00E66468" w:rsidTr="007C6AE7">
        <w:tc>
          <w:tcPr>
            <w:tcW w:w="375" w:type="dxa"/>
          </w:tcPr>
          <w:p w:rsidR="001D26CD" w:rsidRPr="00E66468" w:rsidRDefault="001D26CD" w:rsidP="001D26CD">
            <w:pPr>
              <w:widowControl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B54151" w:rsidRPr="00E66468" w:rsidRDefault="00B54151" w:rsidP="00590E7E">
            <w:pPr>
              <w:rPr>
                <w:bCs/>
                <w:sz w:val="22"/>
                <w:szCs w:val="22"/>
              </w:rPr>
            </w:pPr>
            <w:r w:rsidRPr="00E66468">
              <w:rPr>
                <w:bCs/>
                <w:sz w:val="22"/>
                <w:szCs w:val="22"/>
              </w:rPr>
              <w:t>The foll</w:t>
            </w:r>
            <w:r w:rsidR="00A5254D">
              <w:rPr>
                <w:bCs/>
                <w:sz w:val="22"/>
                <w:szCs w:val="22"/>
              </w:rPr>
              <w:t>owing changes are proposed from</w:t>
            </w:r>
            <w:r w:rsidR="00933B23" w:rsidRPr="00E66468">
              <w:rPr>
                <w:bCs/>
                <w:sz w:val="22"/>
                <w:szCs w:val="22"/>
              </w:rPr>
              <w:t xml:space="preserve"> those approved as part</w:t>
            </w:r>
            <w:r w:rsidR="00CD4135" w:rsidRPr="00E66468">
              <w:rPr>
                <w:bCs/>
                <w:sz w:val="22"/>
                <w:szCs w:val="22"/>
              </w:rPr>
              <w:t xml:space="preserve"> </w:t>
            </w:r>
            <w:r w:rsidRPr="00E66468">
              <w:rPr>
                <w:bCs/>
                <w:sz w:val="22"/>
                <w:szCs w:val="22"/>
              </w:rPr>
              <w:t xml:space="preserve">of planning permission </w:t>
            </w:r>
            <w:r w:rsidR="00D152CD" w:rsidRPr="00E66468">
              <w:rPr>
                <w:sz w:val="22"/>
                <w:szCs w:val="22"/>
              </w:rPr>
              <w:t>2015/0295/DET</w:t>
            </w:r>
            <w:r w:rsidR="00A5254D">
              <w:rPr>
                <w:bCs/>
                <w:sz w:val="22"/>
                <w:szCs w:val="22"/>
              </w:rPr>
              <w:t>:</w:t>
            </w:r>
          </w:p>
          <w:p w:rsidR="00B54151" w:rsidRPr="00E66468" w:rsidRDefault="00B5415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D553C" w:rsidRPr="00E66468" w:rsidRDefault="007D553C" w:rsidP="00B32427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 w:val="0"/>
              <w:rPr>
                <w:bCs/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>Omit proposed access track through fo</w:t>
            </w:r>
            <w:r w:rsidR="00E171E9" w:rsidRPr="00E66468">
              <w:rPr>
                <w:sz w:val="22"/>
                <w:szCs w:val="22"/>
              </w:rPr>
              <w:t>restry to west of Ledard Burn and i</w:t>
            </w:r>
            <w:r w:rsidRPr="00E66468">
              <w:rPr>
                <w:sz w:val="22"/>
                <w:szCs w:val="22"/>
              </w:rPr>
              <w:t>mprovements to Core footpath to be retained</w:t>
            </w:r>
            <w:r w:rsidR="00A5254D">
              <w:rPr>
                <w:sz w:val="22"/>
                <w:szCs w:val="22"/>
              </w:rPr>
              <w:t>;</w:t>
            </w:r>
          </w:p>
          <w:p w:rsidR="007D553C" w:rsidRPr="00E66468" w:rsidRDefault="007D553C" w:rsidP="00B32427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>Omit temporary crossing of Ledard Burn</w:t>
            </w:r>
            <w:r w:rsidR="00A5254D">
              <w:rPr>
                <w:sz w:val="22"/>
                <w:szCs w:val="22"/>
              </w:rPr>
              <w:t>;</w:t>
            </w:r>
          </w:p>
          <w:p w:rsidR="007D553C" w:rsidRPr="00E66468" w:rsidRDefault="007D553C" w:rsidP="00B3242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>Omit pro</w:t>
            </w:r>
            <w:r w:rsidR="00A5254D">
              <w:rPr>
                <w:sz w:val="22"/>
                <w:szCs w:val="22"/>
              </w:rPr>
              <w:t>posed Borrow Pit to east of dam; and</w:t>
            </w:r>
          </w:p>
          <w:p w:rsidR="007D553C" w:rsidRPr="00E66468" w:rsidRDefault="00E171E9" w:rsidP="00B3242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>New a</w:t>
            </w:r>
            <w:r w:rsidR="007D553C" w:rsidRPr="00E66468">
              <w:rPr>
                <w:sz w:val="22"/>
                <w:szCs w:val="22"/>
              </w:rPr>
              <w:t>rea of land for Site</w:t>
            </w:r>
            <w:r w:rsidR="00A5254D">
              <w:rPr>
                <w:sz w:val="22"/>
                <w:szCs w:val="22"/>
              </w:rPr>
              <w:t xml:space="preserve"> Compound and Materials Storage.</w:t>
            </w:r>
          </w:p>
          <w:p w:rsidR="007D553C" w:rsidRPr="00E66468" w:rsidRDefault="007D553C" w:rsidP="008A757A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</w:tr>
      <w:tr w:rsidR="001D26CD" w:rsidRPr="00E66468" w:rsidTr="007C6AE7">
        <w:trPr>
          <w:trHeight w:val="70"/>
        </w:trPr>
        <w:tc>
          <w:tcPr>
            <w:tcW w:w="375" w:type="dxa"/>
          </w:tcPr>
          <w:p w:rsidR="001D26CD" w:rsidRPr="00E66468" w:rsidRDefault="001D26CD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1D26CD" w:rsidRPr="00E66468" w:rsidRDefault="001D26CD">
            <w:pPr>
              <w:jc w:val="both"/>
              <w:rPr>
                <w:sz w:val="22"/>
                <w:szCs w:val="22"/>
              </w:rPr>
            </w:pPr>
            <w:r w:rsidRPr="00E66468">
              <w:rPr>
                <w:b/>
                <w:bCs/>
                <w:sz w:val="22"/>
                <w:szCs w:val="22"/>
              </w:rPr>
              <w:t xml:space="preserve">Planning Assessment  </w:t>
            </w:r>
          </w:p>
        </w:tc>
      </w:tr>
      <w:tr w:rsidR="001D26CD" w:rsidRPr="00E66468">
        <w:tc>
          <w:tcPr>
            <w:tcW w:w="375" w:type="dxa"/>
          </w:tcPr>
          <w:p w:rsidR="001D26CD" w:rsidRPr="00E66468" w:rsidRDefault="001D26C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B32427" w:rsidRPr="00E66468" w:rsidRDefault="00A5254D" w:rsidP="00D23A40">
            <w:pPr>
              <w:widowControl/>
              <w:adjustRightInd w:val="0"/>
            </w:pPr>
            <w:r>
              <w:rPr>
                <w:sz w:val="22"/>
                <w:szCs w:val="22"/>
                <w:lang w:eastAsia="en-GB"/>
              </w:rPr>
              <w:t>The developer’s further consideration of</w:t>
            </w:r>
            <w:r w:rsidR="001923B7" w:rsidRPr="00E66468">
              <w:rPr>
                <w:sz w:val="22"/>
                <w:szCs w:val="22"/>
                <w:lang w:eastAsia="en-GB"/>
              </w:rPr>
              <w:t xml:space="preserve"> this proposal </w:t>
            </w:r>
            <w:r>
              <w:rPr>
                <w:sz w:val="22"/>
                <w:szCs w:val="22"/>
                <w:lang w:eastAsia="en-GB"/>
              </w:rPr>
              <w:t>found</w:t>
            </w:r>
            <w:r w:rsidR="001923B7" w:rsidRPr="00E66468">
              <w:rPr>
                <w:sz w:val="22"/>
                <w:szCs w:val="22"/>
                <w:lang w:eastAsia="en-GB"/>
              </w:rPr>
              <w:t xml:space="preserve"> that all construction can be carried out satisfactorily </w:t>
            </w:r>
            <w:r>
              <w:rPr>
                <w:sz w:val="22"/>
                <w:szCs w:val="22"/>
                <w:lang w:eastAsia="en-GB"/>
              </w:rPr>
              <w:t xml:space="preserve">without using the proposed access track through the forestry to the west of the site, as </w:t>
            </w:r>
            <w:r w:rsidR="001923B7" w:rsidRPr="00E66468">
              <w:rPr>
                <w:sz w:val="22"/>
                <w:szCs w:val="22"/>
                <w:lang w:eastAsia="en-GB"/>
              </w:rPr>
              <w:t xml:space="preserve">fully tracked vehicles </w:t>
            </w:r>
            <w:r>
              <w:rPr>
                <w:sz w:val="22"/>
                <w:szCs w:val="22"/>
                <w:lang w:eastAsia="en-GB"/>
              </w:rPr>
              <w:t>can use</w:t>
            </w:r>
            <w:r w:rsidR="001923B7" w:rsidRPr="00E66468">
              <w:rPr>
                <w:sz w:val="22"/>
                <w:szCs w:val="22"/>
                <w:lang w:eastAsia="en-GB"/>
              </w:rPr>
              <w:t xml:space="preserve"> the access along the temporary track required for</w:t>
            </w:r>
            <w:r w:rsidR="00D23A40">
              <w:rPr>
                <w:sz w:val="22"/>
                <w:szCs w:val="22"/>
                <w:lang w:eastAsia="en-GB"/>
              </w:rPr>
              <w:t xml:space="preserve"> the </w:t>
            </w:r>
            <w:r w:rsidR="001923B7" w:rsidRPr="00E66468">
              <w:rPr>
                <w:sz w:val="22"/>
                <w:szCs w:val="22"/>
                <w:lang w:eastAsia="en-GB"/>
              </w:rPr>
              <w:t>construction of the penstock.  Access from the east would also be fully sufficient for the construction of the dam.</w:t>
            </w:r>
          </w:p>
          <w:p w:rsidR="004D1396" w:rsidRPr="00E66468" w:rsidRDefault="004D1396" w:rsidP="00B32427">
            <w:pPr>
              <w:jc w:val="both"/>
              <w:rPr>
                <w:bCs/>
                <w:sz w:val="22"/>
                <w:szCs w:val="22"/>
              </w:rPr>
            </w:pPr>
          </w:p>
          <w:p w:rsidR="00B32427" w:rsidRPr="00E66468" w:rsidRDefault="007D553C" w:rsidP="00B32427">
            <w:pPr>
              <w:rPr>
                <w:sz w:val="22"/>
                <w:szCs w:val="22"/>
              </w:rPr>
            </w:pPr>
            <w:r w:rsidRPr="00E66468">
              <w:rPr>
                <w:bCs/>
                <w:sz w:val="22"/>
                <w:szCs w:val="22"/>
              </w:rPr>
              <w:t xml:space="preserve">It is proposed to remove </w:t>
            </w:r>
            <w:r w:rsidR="00E171E9" w:rsidRPr="00E66468">
              <w:rPr>
                <w:sz w:val="22"/>
                <w:szCs w:val="22"/>
              </w:rPr>
              <w:t>the</w:t>
            </w:r>
            <w:r w:rsidRPr="00E66468">
              <w:rPr>
                <w:sz w:val="22"/>
                <w:szCs w:val="22"/>
              </w:rPr>
              <w:t xml:space="preserve"> new forestry track spur</w:t>
            </w:r>
            <w:r w:rsidR="00E171E9" w:rsidRPr="00E66468">
              <w:rPr>
                <w:sz w:val="22"/>
                <w:szCs w:val="22"/>
              </w:rPr>
              <w:t xml:space="preserve">.  </w:t>
            </w:r>
            <w:r w:rsidR="00E66468" w:rsidRPr="00E66468">
              <w:rPr>
                <w:sz w:val="22"/>
                <w:szCs w:val="22"/>
              </w:rPr>
              <w:t>Fewer</w:t>
            </w:r>
            <w:r w:rsidRPr="00E66468">
              <w:rPr>
                <w:sz w:val="22"/>
                <w:szCs w:val="22"/>
              </w:rPr>
              <w:t xml:space="preserve"> trees </w:t>
            </w:r>
            <w:r w:rsidR="007E64A5" w:rsidRPr="00E66468">
              <w:rPr>
                <w:sz w:val="22"/>
                <w:szCs w:val="22"/>
              </w:rPr>
              <w:t xml:space="preserve">will </w:t>
            </w:r>
            <w:r w:rsidRPr="00E66468">
              <w:rPr>
                <w:sz w:val="22"/>
                <w:szCs w:val="22"/>
              </w:rPr>
              <w:t>need to be removed and the core footpath will not be disturbed by the proposed scheme.</w:t>
            </w:r>
          </w:p>
          <w:p w:rsidR="00B32427" w:rsidRPr="00E66468" w:rsidRDefault="00B32427" w:rsidP="00B32427">
            <w:pPr>
              <w:rPr>
                <w:sz w:val="22"/>
                <w:szCs w:val="22"/>
              </w:rPr>
            </w:pPr>
          </w:p>
          <w:p w:rsidR="007D553C" w:rsidRPr="00E66468" w:rsidRDefault="00E171E9" w:rsidP="00B32427">
            <w:pPr>
              <w:rPr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>Omitting the temporary crossing of Ledard Burn</w:t>
            </w:r>
            <w:r w:rsidR="007D553C" w:rsidRPr="00E66468">
              <w:rPr>
                <w:sz w:val="22"/>
                <w:szCs w:val="22"/>
              </w:rPr>
              <w:t xml:space="preserve"> </w:t>
            </w:r>
            <w:r w:rsidRPr="00E66468">
              <w:rPr>
                <w:sz w:val="22"/>
                <w:szCs w:val="22"/>
              </w:rPr>
              <w:t>will have</w:t>
            </w:r>
            <w:r w:rsidR="007D553C" w:rsidRPr="00E66468">
              <w:rPr>
                <w:sz w:val="22"/>
                <w:szCs w:val="22"/>
              </w:rPr>
              <w:t xml:space="preserve"> less impact on the water environment.</w:t>
            </w:r>
          </w:p>
          <w:p w:rsidR="00B32427" w:rsidRPr="00E66468" w:rsidRDefault="00B32427" w:rsidP="00B32427">
            <w:pPr>
              <w:rPr>
                <w:sz w:val="22"/>
                <w:szCs w:val="22"/>
              </w:rPr>
            </w:pPr>
          </w:p>
          <w:p w:rsidR="007D553C" w:rsidRPr="00E66468" w:rsidRDefault="00E171E9" w:rsidP="00B32427">
            <w:pPr>
              <w:rPr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>By omitting the proposed Borrow Pit</w:t>
            </w:r>
            <w:r w:rsidR="007D553C" w:rsidRPr="00E66468">
              <w:rPr>
                <w:sz w:val="22"/>
                <w:szCs w:val="22"/>
              </w:rPr>
              <w:t xml:space="preserve"> </w:t>
            </w:r>
            <w:r w:rsidRPr="00E66468">
              <w:rPr>
                <w:sz w:val="22"/>
                <w:szCs w:val="22"/>
              </w:rPr>
              <w:t>to east of dam there will be a</w:t>
            </w:r>
            <w:r w:rsidR="007D553C" w:rsidRPr="00E66468">
              <w:rPr>
                <w:sz w:val="22"/>
                <w:szCs w:val="22"/>
              </w:rPr>
              <w:t xml:space="preserve"> reduction in the visual impact of the scheme.</w:t>
            </w:r>
          </w:p>
          <w:p w:rsidR="00B32427" w:rsidRPr="00E66468" w:rsidRDefault="00B32427" w:rsidP="00B32427">
            <w:pPr>
              <w:rPr>
                <w:sz w:val="22"/>
                <w:szCs w:val="22"/>
              </w:rPr>
            </w:pPr>
          </w:p>
          <w:p w:rsidR="007D553C" w:rsidRPr="00E66468" w:rsidRDefault="007D553C" w:rsidP="00B32427">
            <w:pPr>
              <w:rPr>
                <w:sz w:val="22"/>
                <w:szCs w:val="22"/>
              </w:rPr>
            </w:pPr>
            <w:r w:rsidRPr="00E66468">
              <w:rPr>
                <w:sz w:val="22"/>
                <w:szCs w:val="22"/>
              </w:rPr>
              <w:t xml:space="preserve">The new </w:t>
            </w:r>
            <w:r w:rsidR="00E171E9" w:rsidRPr="00E66468">
              <w:rPr>
                <w:sz w:val="22"/>
                <w:szCs w:val="22"/>
              </w:rPr>
              <w:t>area</w:t>
            </w:r>
            <w:r w:rsidRPr="00E66468">
              <w:rPr>
                <w:sz w:val="22"/>
                <w:szCs w:val="22"/>
              </w:rPr>
              <w:t xml:space="preserve"> for site compound and materials storage is acceptable as it is on low lying land close to the farm and existing clay pigeon shooting infrastructure.</w:t>
            </w:r>
          </w:p>
          <w:p w:rsidR="00D152CD" w:rsidRPr="00E66468" w:rsidRDefault="00D152CD" w:rsidP="0077737D">
            <w:pPr>
              <w:jc w:val="both"/>
              <w:rPr>
                <w:bCs/>
                <w:sz w:val="22"/>
                <w:szCs w:val="22"/>
              </w:rPr>
            </w:pPr>
          </w:p>
          <w:p w:rsidR="0076092F" w:rsidRPr="00E66468" w:rsidRDefault="0076092F" w:rsidP="00992AD0">
            <w:pPr>
              <w:pStyle w:val="ListParagraph"/>
              <w:ind w:left="0"/>
              <w:rPr>
                <w:bCs/>
                <w:sz w:val="22"/>
                <w:szCs w:val="22"/>
                <w:u w:val="single"/>
              </w:rPr>
            </w:pPr>
          </w:p>
        </w:tc>
      </w:tr>
    </w:tbl>
    <w:p w:rsidR="00971B0B" w:rsidRPr="005E2DEE" w:rsidRDefault="00971B0B">
      <w:pPr>
        <w:jc w:val="both"/>
        <w:rPr>
          <w:sz w:val="22"/>
          <w:szCs w:val="22"/>
        </w:rPr>
      </w:pPr>
    </w:p>
    <w:p w:rsidR="00971B0B" w:rsidRPr="005E2DEE" w:rsidRDefault="005545AE">
      <w:pPr>
        <w:jc w:val="both"/>
        <w:rPr>
          <w:b/>
          <w:bCs/>
          <w:sz w:val="22"/>
          <w:szCs w:val="22"/>
        </w:rPr>
      </w:pPr>
      <w:r w:rsidRPr="005E2DEE">
        <w:rPr>
          <w:noProof/>
          <w:sz w:val="22"/>
          <w:szCs w:val="22"/>
          <w:lang w:eastAsia="en-GB"/>
        </w:rPr>
        <w:pict>
          <v:line id="_x0000_s1027" style="position:absolute;left:0;text-align:left;z-index:251657728" from="-9pt,.15pt" to="484.7pt,.15pt"/>
        </w:pict>
      </w:r>
    </w:p>
    <w:p w:rsidR="0054356E" w:rsidRPr="005E2DEE" w:rsidRDefault="00971B0B" w:rsidP="0054356E">
      <w:pPr>
        <w:jc w:val="both"/>
        <w:rPr>
          <w:b/>
          <w:bCs/>
          <w:sz w:val="22"/>
          <w:szCs w:val="22"/>
        </w:rPr>
      </w:pPr>
      <w:r w:rsidRPr="005E2DEE">
        <w:rPr>
          <w:b/>
          <w:bCs/>
          <w:sz w:val="22"/>
          <w:szCs w:val="22"/>
        </w:rPr>
        <w:t xml:space="preserve">Recommendation: </w:t>
      </w:r>
      <w:r w:rsidR="0054356E" w:rsidRPr="00A5254D">
        <w:rPr>
          <w:b/>
          <w:bCs/>
          <w:sz w:val="22"/>
          <w:szCs w:val="22"/>
        </w:rPr>
        <w:t>Approve</w:t>
      </w:r>
    </w:p>
    <w:p w:rsidR="003B1C8D" w:rsidRPr="005E2DEE" w:rsidRDefault="003B1C8D" w:rsidP="003B1C8D">
      <w:pPr>
        <w:jc w:val="both"/>
        <w:rPr>
          <w:sz w:val="22"/>
          <w:szCs w:val="22"/>
        </w:rPr>
      </w:pPr>
    </w:p>
    <w:p w:rsidR="003B1C8D" w:rsidRPr="005E2DEE" w:rsidRDefault="005545AE" w:rsidP="003B1C8D">
      <w:pPr>
        <w:jc w:val="both"/>
        <w:rPr>
          <w:b/>
          <w:bCs/>
          <w:sz w:val="22"/>
          <w:szCs w:val="22"/>
        </w:rPr>
      </w:pPr>
      <w:r w:rsidRPr="005E2DEE">
        <w:rPr>
          <w:noProof/>
          <w:sz w:val="22"/>
          <w:szCs w:val="22"/>
          <w:lang w:eastAsia="en-GB"/>
        </w:rPr>
        <w:pict>
          <v:line id="_x0000_s1028" style="position:absolute;left:0;text-align:left;z-index:251658752" from="-9pt,.15pt" to="484.7pt,.15pt"/>
        </w:pict>
      </w:r>
    </w:p>
    <w:p w:rsidR="009F3F8C" w:rsidRDefault="009F3F8C" w:rsidP="009F3F8C">
      <w:pPr>
        <w:pStyle w:val="BodyText"/>
        <w:spacing w:after="0"/>
        <w:jc w:val="both"/>
        <w:rPr>
          <w:b/>
          <w:bCs/>
          <w:color w:val="000000"/>
          <w:sz w:val="22"/>
          <w:szCs w:val="22"/>
        </w:rPr>
      </w:pPr>
      <w:r w:rsidRPr="00BB6F89">
        <w:rPr>
          <w:b/>
          <w:bCs/>
          <w:color w:val="000000"/>
          <w:sz w:val="22"/>
          <w:szCs w:val="22"/>
        </w:rPr>
        <w:t xml:space="preserve">Reason for Decision: </w:t>
      </w:r>
    </w:p>
    <w:p w:rsidR="00A762A1" w:rsidRPr="003852D8" w:rsidRDefault="00A762A1" w:rsidP="009F3F8C">
      <w:pPr>
        <w:pStyle w:val="BodyText"/>
        <w:spacing w:after="0"/>
        <w:jc w:val="both"/>
        <w:rPr>
          <w:sz w:val="22"/>
          <w:szCs w:val="22"/>
        </w:rPr>
      </w:pPr>
    </w:p>
    <w:p w:rsidR="001250FE" w:rsidRPr="00E66468" w:rsidRDefault="007E64A5" w:rsidP="001250FE">
      <w:pPr>
        <w:rPr>
          <w:sz w:val="22"/>
          <w:szCs w:val="22"/>
        </w:rPr>
      </w:pPr>
      <w:r w:rsidRPr="007E64A5">
        <w:rPr>
          <w:bCs/>
          <w:sz w:val="22"/>
          <w:szCs w:val="22"/>
        </w:rPr>
        <w:t xml:space="preserve">The proposed variations are considered to be ‘non-material’ under s64 of </w:t>
      </w:r>
      <w:r w:rsidRPr="007E64A5">
        <w:rPr>
          <w:sz w:val="22"/>
          <w:szCs w:val="22"/>
        </w:rPr>
        <w:t>The Town and Country Planning (Scotland) Act 1997</w:t>
      </w:r>
      <w:r w:rsidRPr="007E64A5">
        <w:rPr>
          <w:bCs/>
          <w:sz w:val="22"/>
          <w:szCs w:val="22"/>
        </w:rPr>
        <w:t xml:space="preserve"> as they will not have any </w:t>
      </w:r>
      <w:r w:rsidRPr="007E64A5">
        <w:rPr>
          <w:sz w:val="22"/>
          <w:szCs w:val="22"/>
          <w:lang w:eastAsia="en-GB"/>
        </w:rPr>
        <w:t>significant adverse impacts on the visual amenity</w:t>
      </w:r>
      <w:r w:rsidR="001250FE" w:rsidRPr="00E66468">
        <w:rPr>
          <w:sz w:val="22"/>
          <w:szCs w:val="22"/>
          <w:lang w:eastAsia="en-GB"/>
        </w:rPr>
        <w:t xml:space="preserve"> and </w:t>
      </w:r>
      <w:r w:rsidR="001250FE" w:rsidRPr="00E66468">
        <w:rPr>
          <w:sz w:val="22"/>
          <w:szCs w:val="22"/>
        </w:rPr>
        <w:t>will have less impact on the water environment.</w:t>
      </w:r>
    </w:p>
    <w:p w:rsidR="007E64A5" w:rsidRPr="007E64A5" w:rsidRDefault="007E64A5" w:rsidP="007E64A5">
      <w:pPr>
        <w:widowControl/>
        <w:autoSpaceDE/>
        <w:autoSpaceDN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314D86" w:rsidRDefault="00314D86">
      <w:pPr>
        <w:rPr>
          <w:b/>
          <w:bCs/>
          <w:color w:val="000000"/>
          <w:sz w:val="22"/>
          <w:szCs w:val="22"/>
        </w:rPr>
      </w:pPr>
    </w:p>
    <w:p w:rsidR="00971B0B" w:rsidRPr="005E2DEE" w:rsidRDefault="00971B0B" w:rsidP="005C6664">
      <w:pPr>
        <w:tabs>
          <w:tab w:val="left" w:pos="4207"/>
        </w:tabs>
        <w:rPr>
          <w:b/>
          <w:bCs/>
          <w:color w:val="000000"/>
          <w:sz w:val="22"/>
          <w:szCs w:val="22"/>
        </w:rPr>
      </w:pPr>
      <w:r w:rsidRPr="005E2DEE">
        <w:rPr>
          <w:b/>
          <w:bCs/>
          <w:color w:val="000000"/>
          <w:sz w:val="22"/>
          <w:szCs w:val="22"/>
        </w:rPr>
        <w:t>List of Plans</w:t>
      </w:r>
      <w:r w:rsidR="005C6664">
        <w:rPr>
          <w:b/>
          <w:bCs/>
          <w:color w:val="000000"/>
          <w:sz w:val="22"/>
          <w:szCs w:val="22"/>
        </w:rPr>
        <w:tab/>
      </w:r>
      <w:r w:rsidR="00B7357F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971B0B" w:rsidRPr="005E2DEE" w:rsidRDefault="00971B0B">
      <w:pPr>
        <w:rPr>
          <w:b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  <w:gridCol w:w="1417"/>
      </w:tblGrid>
      <w:tr w:rsidR="00971B0B" w:rsidRPr="00E66468" w:rsidTr="00E66468">
        <w:tc>
          <w:tcPr>
            <w:tcW w:w="5920" w:type="dxa"/>
          </w:tcPr>
          <w:p w:rsidR="00971B0B" w:rsidRPr="00E66468" w:rsidRDefault="00971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468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552" w:type="dxa"/>
          </w:tcPr>
          <w:p w:rsidR="00971B0B" w:rsidRPr="00E66468" w:rsidRDefault="00971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468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417" w:type="dxa"/>
          </w:tcPr>
          <w:p w:rsidR="00971B0B" w:rsidRPr="00E66468" w:rsidRDefault="00971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468">
              <w:rPr>
                <w:b/>
                <w:bCs/>
                <w:color w:val="000000"/>
                <w:sz w:val="22"/>
                <w:szCs w:val="22"/>
              </w:rPr>
              <w:t>Date Received</w:t>
            </w:r>
          </w:p>
        </w:tc>
      </w:tr>
      <w:tr w:rsidR="00971B0B" w:rsidRPr="00E66468" w:rsidTr="00E66468">
        <w:tc>
          <w:tcPr>
            <w:tcW w:w="5920" w:type="dxa"/>
          </w:tcPr>
          <w:p w:rsidR="00971B0B" w:rsidRPr="00E66468" w:rsidRDefault="001250FE" w:rsidP="003128D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Details of Weir &amp; Intake Chamber &amp; Access Footbridge</w:t>
            </w:r>
          </w:p>
        </w:tc>
        <w:tc>
          <w:tcPr>
            <w:tcW w:w="2552" w:type="dxa"/>
          </w:tcPr>
          <w:p w:rsidR="00971B0B" w:rsidRPr="00E66468" w:rsidRDefault="001250FE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47068249/GL01 Rev C</w:t>
            </w:r>
          </w:p>
        </w:tc>
        <w:tc>
          <w:tcPr>
            <w:tcW w:w="1417" w:type="dxa"/>
          </w:tcPr>
          <w:p w:rsidR="00971B0B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</w:t>
            </w:r>
            <w:r w:rsidR="00467E00" w:rsidRPr="00E66468">
              <w:rPr>
                <w:bCs/>
                <w:color w:val="000000"/>
                <w:sz w:val="22"/>
                <w:szCs w:val="22"/>
              </w:rPr>
              <w:t>.2016</w:t>
            </w:r>
          </w:p>
        </w:tc>
      </w:tr>
      <w:tr w:rsidR="00467E00" w:rsidRPr="00E66468" w:rsidTr="00E66468">
        <w:tc>
          <w:tcPr>
            <w:tcW w:w="5920" w:type="dxa"/>
          </w:tcPr>
          <w:p w:rsidR="00467E00" w:rsidRPr="00E66468" w:rsidRDefault="00F15B38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Plan on proposed Run of Penstock (Sheet 1 of 3)</w:t>
            </w:r>
          </w:p>
        </w:tc>
        <w:tc>
          <w:tcPr>
            <w:tcW w:w="2552" w:type="dxa"/>
          </w:tcPr>
          <w:p w:rsidR="00467E00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47068249/GL03</w:t>
            </w:r>
            <w:r w:rsidR="00E34289">
              <w:rPr>
                <w:color w:val="222222"/>
                <w:sz w:val="22"/>
                <w:szCs w:val="22"/>
              </w:rPr>
              <w:t xml:space="preserve"> </w:t>
            </w:r>
            <w:r w:rsidRPr="00E66468">
              <w:rPr>
                <w:color w:val="222222"/>
                <w:sz w:val="22"/>
                <w:szCs w:val="22"/>
              </w:rPr>
              <w:t>Rev E</w:t>
            </w:r>
          </w:p>
        </w:tc>
        <w:tc>
          <w:tcPr>
            <w:tcW w:w="1417" w:type="dxa"/>
          </w:tcPr>
          <w:p w:rsidR="00467E00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467E00" w:rsidRPr="00E66468" w:rsidTr="00E66468">
        <w:tc>
          <w:tcPr>
            <w:tcW w:w="5920" w:type="dxa"/>
          </w:tcPr>
          <w:p w:rsidR="00467E00" w:rsidRPr="00E66468" w:rsidRDefault="00F15B38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Plan on proposed Run of Penstock (Sheet 2 of 3)</w:t>
            </w:r>
          </w:p>
        </w:tc>
        <w:tc>
          <w:tcPr>
            <w:tcW w:w="2552" w:type="dxa"/>
          </w:tcPr>
          <w:p w:rsidR="00467E00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47068249/GL04 Rev D</w:t>
            </w:r>
          </w:p>
        </w:tc>
        <w:tc>
          <w:tcPr>
            <w:tcW w:w="1417" w:type="dxa"/>
          </w:tcPr>
          <w:p w:rsidR="00467E00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467E00" w:rsidRPr="00E66468" w:rsidTr="00E66468">
        <w:tc>
          <w:tcPr>
            <w:tcW w:w="5920" w:type="dxa"/>
          </w:tcPr>
          <w:p w:rsidR="00467E00" w:rsidRPr="00E66468" w:rsidRDefault="00F15B38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Plan on proposed Run of Penstock (Sheet 3 of 3)</w:t>
            </w:r>
          </w:p>
        </w:tc>
        <w:tc>
          <w:tcPr>
            <w:tcW w:w="2552" w:type="dxa"/>
          </w:tcPr>
          <w:p w:rsidR="00467E00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47068249/GL05 Rev C</w:t>
            </w:r>
          </w:p>
        </w:tc>
        <w:tc>
          <w:tcPr>
            <w:tcW w:w="1417" w:type="dxa"/>
          </w:tcPr>
          <w:p w:rsidR="00467E00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AC5B3B" w:rsidRPr="00E66468" w:rsidTr="00E66468">
        <w:tc>
          <w:tcPr>
            <w:tcW w:w="5920" w:type="dxa"/>
          </w:tcPr>
          <w:p w:rsidR="00AC5B3B" w:rsidRPr="00E66468" w:rsidRDefault="00F15B38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Vertical and Horizontal Thrust Block Details (Sheet 1 of 2)</w:t>
            </w:r>
          </w:p>
        </w:tc>
        <w:tc>
          <w:tcPr>
            <w:tcW w:w="2552" w:type="dxa"/>
          </w:tcPr>
          <w:p w:rsidR="00AC5B3B" w:rsidRPr="00E66468" w:rsidRDefault="00F15B3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47068249/GL06 Rev A</w:t>
            </w:r>
          </w:p>
        </w:tc>
        <w:tc>
          <w:tcPr>
            <w:tcW w:w="1417" w:type="dxa"/>
          </w:tcPr>
          <w:p w:rsidR="00AC5B3B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F15B38" w:rsidRPr="00E66468" w:rsidTr="00E66468">
        <w:tc>
          <w:tcPr>
            <w:tcW w:w="5920" w:type="dxa"/>
          </w:tcPr>
          <w:p w:rsidR="00F15B38" w:rsidRPr="00E66468" w:rsidRDefault="00C43B84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Vertical and Horizontal Thrust Block Details (Sheet 2 of 2)</w:t>
            </w:r>
          </w:p>
        </w:tc>
        <w:tc>
          <w:tcPr>
            <w:tcW w:w="2552" w:type="dxa"/>
          </w:tcPr>
          <w:p w:rsidR="00F15B38" w:rsidRPr="00E66468" w:rsidRDefault="00C43B84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47068249/GL07</w:t>
            </w:r>
          </w:p>
        </w:tc>
        <w:tc>
          <w:tcPr>
            <w:tcW w:w="1417" w:type="dxa"/>
          </w:tcPr>
          <w:p w:rsidR="00F15B38" w:rsidRPr="00E66468" w:rsidRDefault="00F15B38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F15B38" w:rsidRPr="00E66468" w:rsidTr="00E66468">
        <w:tc>
          <w:tcPr>
            <w:tcW w:w="5920" w:type="dxa"/>
          </w:tcPr>
          <w:p w:rsidR="00F15B38" w:rsidRPr="00E66468" w:rsidRDefault="00C43B84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Turbine Housing, Location and Elevations, Tailrace Detail</w:t>
            </w:r>
          </w:p>
        </w:tc>
        <w:tc>
          <w:tcPr>
            <w:tcW w:w="2552" w:type="dxa"/>
          </w:tcPr>
          <w:p w:rsidR="00F15B38" w:rsidRPr="00E66468" w:rsidRDefault="00C43B84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47068249/GL08 Rev A</w:t>
            </w:r>
          </w:p>
        </w:tc>
        <w:tc>
          <w:tcPr>
            <w:tcW w:w="1417" w:type="dxa"/>
          </w:tcPr>
          <w:p w:rsidR="00F15B38" w:rsidRPr="00E66468" w:rsidRDefault="00C43B84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F15B38" w:rsidRPr="00E66468" w:rsidTr="00E66468">
        <w:tc>
          <w:tcPr>
            <w:tcW w:w="5920" w:type="dxa"/>
          </w:tcPr>
          <w:p w:rsidR="00F15B38" w:rsidRPr="00E66468" w:rsidRDefault="00C43B84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Proposed Tailrace Plan and Details</w:t>
            </w:r>
          </w:p>
        </w:tc>
        <w:tc>
          <w:tcPr>
            <w:tcW w:w="2552" w:type="dxa"/>
          </w:tcPr>
          <w:p w:rsidR="00F15B38" w:rsidRPr="00E66468" w:rsidRDefault="00C43B84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47068249/GL10 Rev B</w:t>
            </w:r>
          </w:p>
        </w:tc>
        <w:tc>
          <w:tcPr>
            <w:tcW w:w="1417" w:type="dxa"/>
          </w:tcPr>
          <w:p w:rsidR="00F15B38" w:rsidRPr="00E66468" w:rsidRDefault="00C43B84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F15B38" w:rsidRPr="00E66468" w:rsidTr="00E66468">
        <w:tc>
          <w:tcPr>
            <w:tcW w:w="5920" w:type="dxa"/>
          </w:tcPr>
          <w:p w:rsidR="00F15B38" w:rsidRPr="00E66468" w:rsidRDefault="00C43B84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Longsection 1-1 through proposed penstock</w:t>
            </w:r>
          </w:p>
        </w:tc>
        <w:tc>
          <w:tcPr>
            <w:tcW w:w="2552" w:type="dxa"/>
          </w:tcPr>
          <w:p w:rsidR="00F15B38" w:rsidRPr="00E66468" w:rsidRDefault="00C43B84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47068249/GX01 Rev C</w:t>
            </w:r>
          </w:p>
        </w:tc>
        <w:tc>
          <w:tcPr>
            <w:tcW w:w="1417" w:type="dxa"/>
          </w:tcPr>
          <w:p w:rsidR="00F15B38" w:rsidRPr="00E66468" w:rsidRDefault="00C43B84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C43B84" w:rsidRPr="00E66468" w:rsidTr="00E66468">
        <w:tc>
          <w:tcPr>
            <w:tcW w:w="5920" w:type="dxa"/>
          </w:tcPr>
          <w:p w:rsidR="00C43B84" w:rsidRPr="00E66468" w:rsidRDefault="00C43B84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Site Plan</w:t>
            </w:r>
          </w:p>
        </w:tc>
        <w:tc>
          <w:tcPr>
            <w:tcW w:w="2552" w:type="dxa"/>
          </w:tcPr>
          <w:p w:rsidR="00C43B84" w:rsidRPr="00E66468" w:rsidRDefault="00C43B84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P2 Rev E</w:t>
            </w:r>
          </w:p>
        </w:tc>
        <w:tc>
          <w:tcPr>
            <w:tcW w:w="1417" w:type="dxa"/>
          </w:tcPr>
          <w:p w:rsidR="00C43B84" w:rsidRPr="00E66468" w:rsidRDefault="00C43B84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  <w:tr w:rsidR="00C43B84" w:rsidRPr="00E66468" w:rsidTr="00E66468">
        <w:tc>
          <w:tcPr>
            <w:tcW w:w="5920" w:type="dxa"/>
          </w:tcPr>
          <w:p w:rsidR="00C43B84" w:rsidRPr="00E66468" w:rsidRDefault="00C43B84" w:rsidP="003128D8">
            <w:pPr>
              <w:rPr>
                <w:color w:val="222222"/>
                <w:sz w:val="22"/>
                <w:szCs w:val="22"/>
              </w:rPr>
            </w:pPr>
            <w:r w:rsidRPr="00E66468">
              <w:rPr>
                <w:color w:val="222222"/>
                <w:sz w:val="22"/>
                <w:szCs w:val="22"/>
              </w:rPr>
              <w:t>Construction Method Statement</w:t>
            </w:r>
          </w:p>
        </w:tc>
        <w:tc>
          <w:tcPr>
            <w:tcW w:w="2552" w:type="dxa"/>
          </w:tcPr>
          <w:p w:rsidR="00C43B84" w:rsidRPr="00E66468" w:rsidRDefault="00C43B84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417" w:type="dxa"/>
          </w:tcPr>
          <w:p w:rsidR="00C43B84" w:rsidRPr="00E66468" w:rsidRDefault="00C43B84">
            <w:pPr>
              <w:rPr>
                <w:bCs/>
                <w:color w:val="000000"/>
                <w:sz w:val="22"/>
                <w:szCs w:val="22"/>
              </w:rPr>
            </w:pPr>
            <w:r w:rsidRPr="00E66468">
              <w:rPr>
                <w:bCs/>
                <w:color w:val="000000"/>
                <w:sz w:val="22"/>
                <w:szCs w:val="22"/>
              </w:rPr>
              <w:t>10.06.2016</w:t>
            </w:r>
          </w:p>
        </w:tc>
      </w:tr>
    </w:tbl>
    <w:p w:rsidR="00971B0B" w:rsidRPr="005E2DEE" w:rsidRDefault="00971B0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71B0B" w:rsidRPr="005E2DEE" w:rsidRDefault="00971B0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71B0B" w:rsidRPr="005E2DEE" w:rsidRDefault="009720B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5E2DEE">
        <w:rPr>
          <w:b/>
          <w:sz w:val="22"/>
          <w:szCs w:val="22"/>
        </w:rPr>
        <w:t xml:space="preserve">Note: As this is a non-material variation of a planning permission under s64 of the Act, there is no change to the </w:t>
      </w:r>
      <w:r w:rsidR="00971B0B" w:rsidRPr="005E2DEE">
        <w:rPr>
          <w:b/>
          <w:sz w:val="22"/>
          <w:szCs w:val="22"/>
        </w:rPr>
        <w:t xml:space="preserve">Informatives </w:t>
      </w:r>
      <w:r w:rsidR="00932126" w:rsidRPr="005E2DEE">
        <w:rPr>
          <w:b/>
          <w:sz w:val="22"/>
          <w:szCs w:val="22"/>
        </w:rPr>
        <w:t>&amp; Conditions attached to t</w:t>
      </w:r>
      <w:r w:rsidRPr="005E2DEE">
        <w:rPr>
          <w:b/>
          <w:sz w:val="22"/>
          <w:szCs w:val="22"/>
        </w:rPr>
        <w:t xml:space="preserve">he original planning permission. </w:t>
      </w:r>
    </w:p>
    <w:p w:rsidR="00971B0B" w:rsidRPr="005E2DEE" w:rsidRDefault="00971B0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71B0B" w:rsidRPr="005E2DEE" w:rsidRDefault="00971B0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71B0B" w:rsidRPr="005E2DEE" w:rsidRDefault="00971B0B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1"/>
        <w:gridCol w:w="5165"/>
      </w:tblGrid>
      <w:tr w:rsidR="00971B0B" w:rsidRPr="005E2DEE" w:rsidTr="0025002F">
        <w:trPr>
          <w:trHeight w:val="1011"/>
        </w:trPr>
        <w:tc>
          <w:tcPr>
            <w:tcW w:w="4441" w:type="dxa"/>
          </w:tcPr>
          <w:p w:rsidR="00971B0B" w:rsidRPr="005E2DEE" w:rsidRDefault="00971B0B" w:rsidP="00F7792A">
            <w:pPr>
              <w:jc w:val="both"/>
              <w:rPr>
                <w:sz w:val="22"/>
                <w:szCs w:val="22"/>
              </w:rPr>
            </w:pPr>
            <w:r w:rsidRPr="005E2DEE">
              <w:rPr>
                <w:sz w:val="22"/>
                <w:szCs w:val="22"/>
              </w:rPr>
              <w:t>Signed:</w:t>
            </w:r>
            <w:r w:rsidR="00E95C14" w:rsidRPr="005E2DEE">
              <w:rPr>
                <w:sz w:val="22"/>
                <w:szCs w:val="22"/>
              </w:rPr>
              <w:t xml:space="preserve"> </w:t>
            </w:r>
            <w:r w:rsidR="005E2DEE" w:rsidRPr="005E2DEE">
              <w:rPr>
                <w:sz w:val="22"/>
                <w:szCs w:val="22"/>
              </w:rPr>
              <w:t xml:space="preserve">Alison </w:t>
            </w:r>
            <w:r w:rsidR="005E2DEE">
              <w:rPr>
                <w:sz w:val="22"/>
                <w:szCs w:val="22"/>
              </w:rPr>
              <w:t>P</w:t>
            </w:r>
            <w:r w:rsidR="005E2DEE" w:rsidRPr="005E2DEE">
              <w:rPr>
                <w:sz w:val="22"/>
                <w:szCs w:val="22"/>
              </w:rPr>
              <w:t>airman</w:t>
            </w:r>
          </w:p>
          <w:p w:rsidR="00971B0B" w:rsidRPr="005E2DEE" w:rsidRDefault="004B4C07" w:rsidP="00F7792A">
            <w:pPr>
              <w:jc w:val="both"/>
              <w:rPr>
                <w:b/>
                <w:bCs/>
                <w:sz w:val="22"/>
                <w:szCs w:val="22"/>
              </w:rPr>
            </w:pPr>
            <w:r w:rsidRPr="005E2DEE">
              <w:rPr>
                <w:b/>
                <w:bCs/>
                <w:sz w:val="22"/>
                <w:szCs w:val="22"/>
              </w:rPr>
              <w:t xml:space="preserve">Development </w:t>
            </w:r>
            <w:r w:rsidR="000573B0" w:rsidRPr="005E2DEE">
              <w:rPr>
                <w:b/>
                <w:bCs/>
                <w:sz w:val="22"/>
                <w:szCs w:val="22"/>
              </w:rPr>
              <w:t xml:space="preserve">Monitoring Officer </w:t>
            </w:r>
          </w:p>
          <w:p w:rsidR="00971B0B" w:rsidRPr="005E2DEE" w:rsidRDefault="00971B0B" w:rsidP="00F7792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71B0B" w:rsidRPr="005E2DEE" w:rsidRDefault="00971B0B" w:rsidP="00F779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:rsidR="00971B0B" w:rsidRPr="005E2DEE" w:rsidRDefault="00E66468" w:rsidP="00EA24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E2DEE" w:rsidRPr="005E2DE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5E2DEE" w:rsidRPr="005E2DEE">
              <w:rPr>
                <w:sz w:val="22"/>
                <w:szCs w:val="22"/>
              </w:rPr>
              <w:t>.2016</w:t>
            </w:r>
          </w:p>
        </w:tc>
      </w:tr>
    </w:tbl>
    <w:p w:rsidR="00971B0B" w:rsidRPr="005E2DEE" w:rsidRDefault="00971B0B">
      <w:pPr>
        <w:widowControl/>
        <w:spacing w:before="24" w:after="24" w:line="-240" w:lineRule="auto"/>
        <w:jc w:val="both"/>
        <w:rPr>
          <w:sz w:val="22"/>
          <w:szCs w:val="22"/>
        </w:rPr>
      </w:pPr>
    </w:p>
    <w:p w:rsidR="00971B0B" w:rsidRDefault="00971B0B">
      <w:pPr>
        <w:pStyle w:val="Heading2"/>
        <w:rPr>
          <w:lang w:eastAsia="en-GB"/>
        </w:rPr>
      </w:pPr>
    </w:p>
    <w:sectPr w:rsidR="00971B0B" w:rsidSect="00E709B6">
      <w:headerReference w:type="default" r:id="rId8"/>
      <w:footerReference w:type="default" r:id="rId9"/>
      <w:pgSz w:w="11909" w:h="16834" w:code="9"/>
      <w:pgMar w:top="851" w:right="1134" w:bottom="567" w:left="1247" w:header="709" w:footer="709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70" w:rsidRDefault="00411D70">
      <w:r>
        <w:separator/>
      </w:r>
    </w:p>
  </w:endnote>
  <w:endnote w:type="continuationSeparator" w:id="0">
    <w:p w:rsidR="00411D70" w:rsidRDefault="0041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60" w:rsidRDefault="00A86A60">
    <w:pPr>
      <w:pStyle w:val="Footer"/>
      <w:tabs>
        <w:tab w:val="clear" w:pos="4153"/>
        <w:tab w:val="clear" w:pos="8306"/>
      </w:tabs>
      <w:spacing w:after="40"/>
      <w:rPr>
        <w:b/>
        <w:color w:val="C2CD23"/>
        <w:sz w:val="19"/>
        <w:szCs w:val="18"/>
      </w:rPr>
    </w:pPr>
    <w:r>
      <w:rPr>
        <w:b/>
        <w:color w:val="C2CD23"/>
        <w:sz w:val="19"/>
        <w:szCs w:val="18"/>
      </w:rPr>
      <w:t>LOCH LOMOND &amp; THE TROSSACHS NATIONAL PARK AUTHORITY</w:t>
    </w:r>
  </w:p>
  <w:p w:rsidR="00A86A60" w:rsidRDefault="00A86A60">
    <w:pPr>
      <w:pStyle w:val="Footer"/>
      <w:tabs>
        <w:tab w:val="clear" w:pos="4153"/>
        <w:tab w:val="clear" w:pos="8306"/>
      </w:tabs>
      <w:spacing w:after="40"/>
      <w:rPr>
        <w:color w:val="455560"/>
        <w:sz w:val="18"/>
        <w:szCs w:val="18"/>
      </w:rPr>
    </w:pPr>
    <w:r>
      <w:rPr>
        <w:color w:val="455560"/>
        <w:sz w:val="18"/>
        <w:szCs w:val="18"/>
      </w:rPr>
      <w:t>National Park Headquarters, Carrochan, Carrochan Road, Balloch, G83 8EG Long: 4˚34’</w:t>
    </w:r>
    <w:proofErr w:type="gramStart"/>
    <w:r>
      <w:rPr>
        <w:color w:val="455560"/>
        <w:sz w:val="18"/>
        <w:szCs w:val="18"/>
      </w:rPr>
      <w:t>24”W</w:t>
    </w:r>
    <w:proofErr w:type="gramEnd"/>
    <w:r>
      <w:rPr>
        <w:color w:val="455560"/>
        <w:sz w:val="18"/>
        <w:szCs w:val="18"/>
      </w:rPr>
      <w:t xml:space="preserve">  Lat: 56˚00’12”N</w:t>
    </w:r>
  </w:p>
  <w:p w:rsidR="00A86A60" w:rsidRDefault="00A86A60">
    <w:pPr>
      <w:pStyle w:val="Footer"/>
      <w:tabs>
        <w:tab w:val="clear" w:pos="4153"/>
        <w:tab w:val="clear" w:pos="8306"/>
      </w:tabs>
      <w:spacing w:after="40"/>
      <w:rPr>
        <w:color w:val="455560"/>
        <w:sz w:val="18"/>
        <w:szCs w:val="18"/>
        <w:lang w:val="de-DE"/>
      </w:rPr>
    </w:pPr>
    <w:r>
      <w:rPr>
        <w:color w:val="455560"/>
        <w:sz w:val="18"/>
        <w:szCs w:val="18"/>
        <w:lang w:val="de-DE"/>
      </w:rPr>
      <w:t xml:space="preserve">t: 01389 722600 f: 01389 722633 e: </w:t>
    </w:r>
    <w:r>
      <w:rPr>
        <w:rFonts w:cs="Times New Roman"/>
        <w:color w:val="455560"/>
        <w:sz w:val="18"/>
        <w:szCs w:val="18"/>
        <w:lang w:val="de-DE"/>
      </w:rPr>
      <w:t>info@lochlomond-trossachs.org</w:t>
    </w:r>
    <w:r>
      <w:rPr>
        <w:color w:val="455560"/>
        <w:sz w:val="18"/>
        <w:szCs w:val="18"/>
        <w:lang w:val="de-DE"/>
      </w:rPr>
      <w:t xml:space="preserve"> w: </w:t>
    </w:r>
    <w:hyperlink r:id="rId1" w:history="1">
      <w:r>
        <w:rPr>
          <w:rStyle w:val="Hyperlink"/>
          <w:color w:val="455560"/>
          <w:sz w:val="18"/>
          <w:szCs w:val="18"/>
          <w:u w:val="none"/>
          <w:lang w:val="de-DE"/>
        </w:rPr>
        <w:t>lochlomond-trossachs.org</w:t>
      </w:r>
    </w:hyperlink>
  </w:p>
  <w:p w:rsidR="00A86A60" w:rsidRDefault="00A86A60">
    <w:pPr>
      <w:pStyle w:val="Footer"/>
      <w:tabs>
        <w:tab w:val="clear" w:pos="4153"/>
        <w:tab w:val="clear" w:pos="8306"/>
      </w:tabs>
      <w:spacing w:after="40"/>
      <w:rPr>
        <w:color w:val="455560"/>
        <w:sz w:val="18"/>
        <w:szCs w:val="18"/>
      </w:rPr>
    </w:pPr>
    <w:r>
      <w:rPr>
        <w:color w:val="455560"/>
        <w:sz w:val="18"/>
        <w:szCs w:val="18"/>
      </w:rPr>
      <w:t xml:space="preserve">Printed on paper sourced from certified sustainable forests </w:t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  <w:t xml:space="preserve">Page </w:t>
    </w:r>
    <w:r>
      <w:rPr>
        <w:color w:val="455560"/>
        <w:sz w:val="18"/>
        <w:szCs w:val="18"/>
      </w:rPr>
      <w:fldChar w:fldCharType="begin"/>
    </w:r>
    <w:r>
      <w:rPr>
        <w:color w:val="455560"/>
        <w:sz w:val="18"/>
        <w:szCs w:val="18"/>
      </w:rPr>
      <w:instrText xml:space="preserve"> PAGE </w:instrText>
    </w:r>
    <w:r>
      <w:rPr>
        <w:color w:val="455560"/>
        <w:sz w:val="18"/>
        <w:szCs w:val="18"/>
      </w:rPr>
      <w:fldChar w:fldCharType="separate"/>
    </w:r>
    <w:r w:rsidR="00D038D4">
      <w:rPr>
        <w:noProof/>
        <w:color w:val="455560"/>
        <w:sz w:val="18"/>
        <w:szCs w:val="18"/>
      </w:rPr>
      <w:t>2</w:t>
    </w:r>
    <w:r>
      <w:rPr>
        <w:color w:val="455560"/>
        <w:sz w:val="18"/>
        <w:szCs w:val="18"/>
      </w:rPr>
      <w:fldChar w:fldCharType="end"/>
    </w:r>
    <w:r>
      <w:rPr>
        <w:color w:val="455560"/>
        <w:sz w:val="18"/>
        <w:szCs w:val="18"/>
      </w:rPr>
      <w:t xml:space="preserve"> of </w:t>
    </w:r>
    <w:r>
      <w:rPr>
        <w:color w:val="455560"/>
        <w:sz w:val="18"/>
        <w:szCs w:val="18"/>
      </w:rPr>
      <w:fldChar w:fldCharType="begin"/>
    </w:r>
    <w:r>
      <w:rPr>
        <w:color w:val="455560"/>
        <w:sz w:val="18"/>
        <w:szCs w:val="18"/>
      </w:rPr>
      <w:instrText xml:space="preserve"> NUMPAGES </w:instrText>
    </w:r>
    <w:r>
      <w:rPr>
        <w:color w:val="455560"/>
        <w:sz w:val="18"/>
        <w:szCs w:val="18"/>
      </w:rPr>
      <w:fldChar w:fldCharType="separate"/>
    </w:r>
    <w:r w:rsidR="00D038D4">
      <w:rPr>
        <w:noProof/>
        <w:color w:val="455560"/>
        <w:sz w:val="18"/>
        <w:szCs w:val="18"/>
      </w:rPr>
      <w:t>2</w:t>
    </w:r>
    <w:r>
      <w:rPr>
        <w:color w:val="455560"/>
        <w:sz w:val="18"/>
        <w:szCs w:val="18"/>
      </w:rPr>
      <w:fldChar w:fldCharType="end"/>
    </w:r>
    <w:r>
      <w:rPr>
        <w:color w:val="455560"/>
        <w:sz w:val="18"/>
        <w:szCs w:val="18"/>
      </w:rPr>
      <w:tab/>
      <w:t xml:space="preserve">                                                   </w:t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</w:r>
    <w:r>
      <w:rPr>
        <w:color w:val="3F7998"/>
        <w:sz w:val="18"/>
        <w:szCs w:val="18"/>
      </w:rPr>
      <w:tab/>
      <w:t xml:space="preserve">                                                    </w:t>
    </w: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70" w:rsidRDefault="00411D70">
      <w:r>
        <w:separator/>
      </w:r>
    </w:p>
  </w:footnote>
  <w:footnote w:type="continuationSeparator" w:id="0">
    <w:p w:rsidR="00411D70" w:rsidRDefault="0041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60" w:rsidRDefault="00A86A60">
    <w:pPr>
      <w:pStyle w:val="Header"/>
      <w:widowControl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489"/>
    <w:multiLevelType w:val="hybridMultilevel"/>
    <w:tmpl w:val="AABCA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FE"/>
    <w:multiLevelType w:val="hybridMultilevel"/>
    <w:tmpl w:val="5A1C3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2655E6"/>
    <w:multiLevelType w:val="hybridMultilevel"/>
    <w:tmpl w:val="58424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0BB2"/>
    <w:multiLevelType w:val="hybridMultilevel"/>
    <w:tmpl w:val="B074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2B32"/>
    <w:multiLevelType w:val="hybridMultilevel"/>
    <w:tmpl w:val="CEA04E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91F3D"/>
    <w:multiLevelType w:val="hybridMultilevel"/>
    <w:tmpl w:val="425C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87D3A"/>
    <w:multiLevelType w:val="hybridMultilevel"/>
    <w:tmpl w:val="D4BE3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674"/>
    <w:multiLevelType w:val="hybridMultilevel"/>
    <w:tmpl w:val="484CE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1247A"/>
    <w:multiLevelType w:val="hybridMultilevel"/>
    <w:tmpl w:val="2DE89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E03E2"/>
    <w:multiLevelType w:val="hybridMultilevel"/>
    <w:tmpl w:val="41A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55FB"/>
    <w:multiLevelType w:val="hybridMultilevel"/>
    <w:tmpl w:val="A290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1946"/>
    <w:multiLevelType w:val="hybridMultilevel"/>
    <w:tmpl w:val="FD50B220"/>
    <w:lvl w:ilvl="0" w:tplc="F2E01A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2E3F7F"/>
    <w:multiLevelType w:val="hybridMultilevel"/>
    <w:tmpl w:val="3886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B0F"/>
    <w:rsid w:val="0000659A"/>
    <w:rsid w:val="00030759"/>
    <w:rsid w:val="00031438"/>
    <w:rsid w:val="000453B2"/>
    <w:rsid w:val="00053709"/>
    <w:rsid w:val="000573B0"/>
    <w:rsid w:val="00067742"/>
    <w:rsid w:val="00074FE5"/>
    <w:rsid w:val="00087084"/>
    <w:rsid w:val="000B1FC7"/>
    <w:rsid w:val="000B23AE"/>
    <w:rsid w:val="000B406B"/>
    <w:rsid w:val="000B5D13"/>
    <w:rsid w:val="000B7228"/>
    <w:rsid w:val="000B7A35"/>
    <w:rsid w:val="000C2AC3"/>
    <w:rsid w:val="000F3420"/>
    <w:rsid w:val="00100B9E"/>
    <w:rsid w:val="001250FE"/>
    <w:rsid w:val="00125238"/>
    <w:rsid w:val="001923B7"/>
    <w:rsid w:val="001B22C8"/>
    <w:rsid w:val="001D0283"/>
    <w:rsid w:val="001D26CD"/>
    <w:rsid w:val="001D4FFB"/>
    <w:rsid w:val="00202E98"/>
    <w:rsid w:val="002128FB"/>
    <w:rsid w:val="00213B86"/>
    <w:rsid w:val="00231F92"/>
    <w:rsid w:val="00233D5E"/>
    <w:rsid w:val="0025002F"/>
    <w:rsid w:val="00253E91"/>
    <w:rsid w:val="002D515A"/>
    <w:rsid w:val="002E0A08"/>
    <w:rsid w:val="002F009E"/>
    <w:rsid w:val="003062EB"/>
    <w:rsid w:val="003128D8"/>
    <w:rsid w:val="00314D86"/>
    <w:rsid w:val="00350615"/>
    <w:rsid w:val="00352789"/>
    <w:rsid w:val="003656F9"/>
    <w:rsid w:val="00365F33"/>
    <w:rsid w:val="00390C4D"/>
    <w:rsid w:val="003B1C8D"/>
    <w:rsid w:val="003C0B61"/>
    <w:rsid w:val="003C3E9F"/>
    <w:rsid w:val="003D1B0F"/>
    <w:rsid w:val="0040666F"/>
    <w:rsid w:val="00410213"/>
    <w:rsid w:val="00411D70"/>
    <w:rsid w:val="004549EF"/>
    <w:rsid w:val="00467774"/>
    <w:rsid w:val="00467E00"/>
    <w:rsid w:val="004772C9"/>
    <w:rsid w:val="004933EF"/>
    <w:rsid w:val="004A777F"/>
    <w:rsid w:val="004B0671"/>
    <w:rsid w:val="004B4C07"/>
    <w:rsid w:val="004B7005"/>
    <w:rsid w:val="004C71B9"/>
    <w:rsid w:val="004D1396"/>
    <w:rsid w:val="004E3009"/>
    <w:rsid w:val="005119AC"/>
    <w:rsid w:val="00511B03"/>
    <w:rsid w:val="005340AF"/>
    <w:rsid w:val="0054356E"/>
    <w:rsid w:val="005545AE"/>
    <w:rsid w:val="00555BBF"/>
    <w:rsid w:val="00556A7A"/>
    <w:rsid w:val="00590E7E"/>
    <w:rsid w:val="00591642"/>
    <w:rsid w:val="0059182E"/>
    <w:rsid w:val="00591B68"/>
    <w:rsid w:val="005A5E4D"/>
    <w:rsid w:val="005B6FA6"/>
    <w:rsid w:val="005C14F6"/>
    <w:rsid w:val="005C6664"/>
    <w:rsid w:val="005E1402"/>
    <w:rsid w:val="005E2DEE"/>
    <w:rsid w:val="005E68F2"/>
    <w:rsid w:val="005F718F"/>
    <w:rsid w:val="00620BBC"/>
    <w:rsid w:val="006342D4"/>
    <w:rsid w:val="006349FE"/>
    <w:rsid w:val="00636173"/>
    <w:rsid w:val="00657183"/>
    <w:rsid w:val="006579A5"/>
    <w:rsid w:val="00664A9B"/>
    <w:rsid w:val="006C7524"/>
    <w:rsid w:val="006E0574"/>
    <w:rsid w:val="007168FE"/>
    <w:rsid w:val="00741FA5"/>
    <w:rsid w:val="00743200"/>
    <w:rsid w:val="0076092F"/>
    <w:rsid w:val="007759FC"/>
    <w:rsid w:val="0077737D"/>
    <w:rsid w:val="00780DBB"/>
    <w:rsid w:val="0078647F"/>
    <w:rsid w:val="007A3E17"/>
    <w:rsid w:val="007B0E32"/>
    <w:rsid w:val="007C0A7B"/>
    <w:rsid w:val="007C6AE7"/>
    <w:rsid w:val="007D330A"/>
    <w:rsid w:val="007D553C"/>
    <w:rsid w:val="007E64A5"/>
    <w:rsid w:val="008150F8"/>
    <w:rsid w:val="008330FB"/>
    <w:rsid w:val="00835DCC"/>
    <w:rsid w:val="008403DD"/>
    <w:rsid w:val="00871DFD"/>
    <w:rsid w:val="008A757A"/>
    <w:rsid w:val="008B3FED"/>
    <w:rsid w:val="009315AA"/>
    <w:rsid w:val="00932126"/>
    <w:rsid w:val="00933B23"/>
    <w:rsid w:val="00970D9E"/>
    <w:rsid w:val="00971B0B"/>
    <w:rsid w:val="00971D73"/>
    <w:rsid w:val="009720B0"/>
    <w:rsid w:val="009869AF"/>
    <w:rsid w:val="00992AD0"/>
    <w:rsid w:val="00994B01"/>
    <w:rsid w:val="009E147D"/>
    <w:rsid w:val="009F3F8C"/>
    <w:rsid w:val="00A075DF"/>
    <w:rsid w:val="00A13FE3"/>
    <w:rsid w:val="00A17F52"/>
    <w:rsid w:val="00A23A66"/>
    <w:rsid w:val="00A40496"/>
    <w:rsid w:val="00A5195B"/>
    <w:rsid w:val="00A5254D"/>
    <w:rsid w:val="00A666B4"/>
    <w:rsid w:val="00A762A1"/>
    <w:rsid w:val="00A84F4E"/>
    <w:rsid w:val="00A866CB"/>
    <w:rsid w:val="00A86A60"/>
    <w:rsid w:val="00AA6AA2"/>
    <w:rsid w:val="00AC5B3B"/>
    <w:rsid w:val="00AD4961"/>
    <w:rsid w:val="00AD6849"/>
    <w:rsid w:val="00AF4DDE"/>
    <w:rsid w:val="00B066C7"/>
    <w:rsid w:val="00B32427"/>
    <w:rsid w:val="00B33715"/>
    <w:rsid w:val="00B4437D"/>
    <w:rsid w:val="00B54151"/>
    <w:rsid w:val="00B72569"/>
    <w:rsid w:val="00B7357F"/>
    <w:rsid w:val="00BA3001"/>
    <w:rsid w:val="00BB6F89"/>
    <w:rsid w:val="00BB7AFA"/>
    <w:rsid w:val="00BD794C"/>
    <w:rsid w:val="00C074EB"/>
    <w:rsid w:val="00C10830"/>
    <w:rsid w:val="00C31951"/>
    <w:rsid w:val="00C413AF"/>
    <w:rsid w:val="00C43B84"/>
    <w:rsid w:val="00C477C3"/>
    <w:rsid w:val="00C562E8"/>
    <w:rsid w:val="00C72B14"/>
    <w:rsid w:val="00C8087E"/>
    <w:rsid w:val="00C82BB5"/>
    <w:rsid w:val="00CB0572"/>
    <w:rsid w:val="00CB2D80"/>
    <w:rsid w:val="00CD0C4C"/>
    <w:rsid w:val="00CD4135"/>
    <w:rsid w:val="00CD7FB9"/>
    <w:rsid w:val="00CF13EB"/>
    <w:rsid w:val="00D038D4"/>
    <w:rsid w:val="00D104A5"/>
    <w:rsid w:val="00D132C3"/>
    <w:rsid w:val="00D152CD"/>
    <w:rsid w:val="00D23A40"/>
    <w:rsid w:val="00D35B68"/>
    <w:rsid w:val="00D47248"/>
    <w:rsid w:val="00D53498"/>
    <w:rsid w:val="00D64C00"/>
    <w:rsid w:val="00D8008D"/>
    <w:rsid w:val="00D91F45"/>
    <w:rsid w:val="00DC79D9"/>
    <w:rsid w:val="00DF427B"/>
    <w:rsid w:val="00E171E9"/>
    <w:rsid w:val="00E22DA6"/>
    <w:rsid w:val="00E34289"/>
    <w:rsid w:val="00E42379"/>
    <w:rsid w:val="00E53B01"/>
    <w:rsid w:val="00E6409A"/>
    <w:rsid w:val="00E66468"/>
    <w:rsid w:val="00E709B6"/>
    <w:rsid w:val="00E76E4A"/>
    <w:rsid w:val="00E95C14"/>
    <w:rsid w:val="00E97BEF"/>
    <w:rsid w:val="00EA24E0"/>
    <w:rsid w:val="00EB071D"/>
    <w:rsid w:val="00EE1945"/>
    <w:rsid w:val="00F1509A"/>
    <w:rsid w:val="00F15B38"/>
    <w:rsid w:val="00F16F3B"/>
    <w:rsid w:val="00F31F32"/>
    <w:rsid w:val="00F32749"/>
    <w:rsid w:val="00F41E44"/>
    <w:rsid w:val="00F464AC"/>
    <w:rsid w:val="00F668C5"/>
    <w:rsid w:val="00F7792A"/>
    <w:rsid w:val="00F90135"/>
    <w:rsid w:val="00FC5FCA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F67F53-8B03-4E6E-920F-33A7B38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95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5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51"/>
    <w:pPr>
      <w:keepNext/>
      <w:outlineLvl w:val="1"/>
    </w:pPr>
    <w:rPr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319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C31951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31951"/>
    <w:pPr>
      <w:widowControl/>
      <w:autoSpaceDE/>
      <w:autoSpaceDN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C319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319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31951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319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C31951"/>
    <w:rPr>
      <w:rFonts w:ascii="Arial" w:hAnsi="Arial" w:cs="Arial"/>
      <w:sz w:val="20"/>
      <w:szCs w:val="20"/>
      <w:lang w:eastAsia="en-US"/>
    </w:rPr>
  </w:style>
  <w:style w:type="paragraph" w:styleId="List">
    <w:name w:val="List"/>
    <w:basedOn w:val="Normal"/>
    <w:uiPriority w:val="99"/>
    <w:rsid w:val="00C31951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C31951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31951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uiPriority w:val="99"/>
    <w:rsid w:val="00C31951"/>
    <w:rPr>
      <w:rFonts w:cs="Times New Roman"/>
      <w:color w:val="0000FF"/>
      <w:u w:val="single"/>
    </w:rPr>
  </w:style>
  <w:style w:type="paragraph" w:customStyle="1" w:styleId="StyleHeading211ptNotItalic">
    <w:name w:val="Style Heading 2 + 11 pt Not Italic"/>
    <w:basedOn w:val="Heading2"/>
    <w:link w:val="StyleHeading211ptNotItalicChar"/>
    <w:uiPriority w:val="99"/>
    <w:rsid w:val="00C31951"/>
    <w:rPr>
      <w:i/>
      <w:iCs w:val="0"/>
    </w:rPr>
  </w:style>
  <w:style w:type="character" w:customStyle="1" w:styleId="StyleHeading211ptNotItalicChar">
    <w:name w:val="Style Heading 2 + 11 pt Not Italic Char"/>
    <w:link w:val="StyleHeading211ptNotItalic"/>
    <w:uiPriority w:val="99"/>
    <w:locked/>
    <w:rsid w:val="00C31951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StyleHeading211ptNotItalic1">
    <w:name w:val="Style Heading 2 + 11 pt Not Italic1"/>
    <w:basedOn w:val="Heading2"/>
    <w:link w:val="StyleHeading211ptNotItalic1Char"/>
    <w:uiPriority w:val="99"/>
    <w:rsid w:val="00C31951"/>
    <w:rPr>
      <w:i/>
      <w:iCs w:val="0"/>
    </w:rPr>
  </w:style>
  <w:style w:type="character" w:customStyle="1" w:styleId="StyleHeading211ptNotItalic1Char">
    <w:name w:val="Style Heading 2 + 11 pt Not Italic1 Char"/>
    <w:link w:val="StyleHeading211ptNotItalic1"/>
    <w:uiPriority w:val="99"/>
    <w:locked/>
    <w:rsid w:val="00C31951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character" w:styleId="FollowedHyperlink">
    <w:name w:val="FollowedHyperlink"/>
    <w:uiPriority w:val="99"/>
    <w:rsid w:val="00C3195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3195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leglhslegp4no">
    <w:name w:val="legds leglhs legp4no"/>
    <w:uiPriority w:val="99"/>
    <w:rsid w:val="00C31951"/>
    <w:rPr>
      <w:rFonts w:cs="Times New Roman"/>
    </w:rPr>
  </w:style>
  <w:style w:type="character" w:customStyle="1" w:styleId="legdslegrhslegp4text">
    <w:name w:val="legds legrhs legp4text"/>
    <w:uiPriority w:val="99"/>
    <w:rsid w:val="00C319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83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hlomond-trossach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rma\Desktop\2014_0079_DET%20NM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2014_0079_DET NMV</Template>
  <TotalTime>1</TotalTime>
  <Pages>2</Pages>
  <Words>469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initail document stored in RTF format</vt:lpstr>
    </vt:vector>
  </TitlesOfParts>
  <Company>DELL Computer Corporation</Company>
  <LinksUpToDate>false</LinksUpToDate>
  <CharactersWithSpaces>3183</CharactersWithSpaces>
  <SharedDoc>false</SharedDoc>
  <HLinks>
    <vt:vector size="6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http://www.lochlomond-trossachs.org/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initail document stored in RTF format</dc:title>
  <dc:subject/>
  <dc:creator>Alison Pairman</dc:creator>
  <cp:keywords/>
  <cp:lastModifiedBy>Nick Kempe</cp:lastModifiedBy>
  <cp:revision>2</cp:revision>
  <cp:lastPrinted>2014-11-25T11:01:00Z</cp:lastPrinted>
  <dcterms:created xsi:type="dcterms:W3CDTF">2017-04-10T08:54:00Z</dcterms:created>
  <dcterms:modified xsi:type="dcterms:W3CDTF">2017-04-10T08:54:00Z</dcterms:modified>
</cp:coreProperties>
</file>