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D1" w:rsidRDefault="00F16FD1">
      <w:pPr>
        <w:rPr>
          <w:sz w:val="22"/>
          <w:szCs w:val="22"/>
        </w:rPr>
      </w:pPr>
      <w:bookmarkStart w:id="0" w:name="_GoBack"/>
      <w:bookmarkEnd w:id="0"/>
    </w:p>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1559"/>
        <w:gridCol w:w="2798"/>
      </w:tblGrid>
      <w:tr w:rsidR="00F16FD1">
        <w:trPr>
          <w:trHeight w:val="1583"/>
        </w:trPr>
        <w:tc>
          <w:tcPr>
            <w:tcW w:w="5387" w:type="dxa"/>
          </w:tcPr>
          <w:p w:rsidR="00F16FD1" w:rsidRDefault="00F16FD1">
            <w:pPr>
              <w:rPr>
                <w:b/>
                <w:sz w:val="22"/>
                <w:szCs w:val="22"/>
              </w:rPr>
            </w:pPr>
            <w:r>
              <w:rPr>
                <w:b/>
                <w:sz w:val="22"/>
                <w:szCs w:val="22"/>
              </w:rPr>
              <w:t>THE ENVIRONMENTAL IMPACT ASSESSMENT (SCOTLAND) REGULATIONS 2011</w:t>
            </w:r>
          </w:p>
          <w:p w:rsidR="00F16FD1" w:rsidRDefault="00F16FD1">
            <w:pPr>
              <w:rPr>
                <w:b/>
                <w:sz w:val="22"/>
                <w:szCs w:val="22"/>
              </w:rPr>
            </w:pPr>
          </w:p>
          <w:p w:rsidR="00F16FD1" w:rsidRDefault="00F16FD1">
            <w:pPr>
              <w:rPr>
                <w:b/>
                <w:sz w:val="22"/>
                <w:szCs w:val="22"/>
              </w:rPr>
            </w:pPr>
          </w:p>
          <w:p w:rsidR="00F16FD1" w:rsidRDefault="00F16FD1">
            <w:pPr>
              <w:rPr>
                <w:b/>
                <w:sz w:val="22"/>
                <w:szCs w:val="22"/>
              </w:rPr>
            </w:pPr>
            <w:r>
              <w:rPr>
                <w:b/>
                <w:sz w:val="22"/>
                <w:szCs w:val="22"/>
              </w:rPr>
              <w:t>SCREENING OPINION</w:t>
            </w:r>
          </w:p>
          <w:p w:rsidR="00F16FD1" w:rsidRDefault="00F16FD1">
            <w:pPr>
              <w:rPr>
                <w:sz w:val="22"/>
                <w:szCs w:val="22"/>
              </w:rPr>
            </w:pPr>
          </w:p>
        </w:tc>
        <w:tc>
          <w:tcPr>
            <w:tcW w:w="1559" w:type="dxa"/>
            <w:vMerge w:val="restart"/>
          </w:tcPr>
          <w:p w:rsidR="00F16FD1" w:rsidRDefault="00F16FD1">
            <w:pPr>
              <w:rPr>
                <w:sz w:val="22"/>
                <w:szCs w:val="22"/>
              </w:rPr>
            </w:pPr>
          </w:p>
        </w:tc>
        <w:tc>
          <w:tcPr>
            <w:tcW w:w="2798" w:type="dxa"/>
            <w:vMerge w:val="restart"/>
          </w:tcPr>
          <w:p w:rsidR="00F16FD1" w:rsidRDefault="00AA7BFE">
            <w:pPr>
              <w:rPr>
                <w:sz w:val="22"/>
                <w:szCs w:val="22"/>
              </w:rPr>
            </w:pPr>
            <w:r>
              <w:rPr>
                <w:noProof/>
                <w:sz w:val="22"/>
                <w:szCs w:val="22"/>
                <w:lang w:eastAsia="en-GB"/>
              </w:rPr>
              <w:drawing>
                <wp:inline distT="0" distB="0" distL="0" distR="0">
                  <wp:extent cx="170497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866900"/>
                          </a:xfrm>
                          <a:prstGeom prst="rect">
                            <a:avLst/>
                          </a:prstGeom>
                          <a:noFill/>
                          <a:ln>
                            <a:noFill/>
                          </a:ln>
                        </pic:spPr>
                      </pic:pic>
                    </a:graphicData>
                  </a:graphic>
                </wp:inline>
              </w:drawing>
            </w:r>
          </w:p>
        </w:tc>
      </w:tr>
      <w:tr w:rsidR="00F16FD1">
        <w:trPr>
          <w:trHeight w:val="1226"/>
        </w:trPr>
        <w:tc>
          <w:tcPr>
            <w:tcW w:w="5387" w:type="dxa"/>
          </w:tcPr>
          <w:p w:rsidR="00F16FD1" w:rsidRDefault="00F16FD1">
            <w:pPr>
              <w:rPr>
                <w:sz w:val="22"/>
                <w:szCs w:val="22"/>
              </w:rPr>
            </w:pPr>
          </w:p>
        </w:tc>
        <w:tc>
          <w:tcPr>
            <w:tcW w:w="1559" w:type="dxa"/>
            <w:vMerge/>
            <w:vAlign w:val="center"/>
          </w:tcPr>
          <w:p w:rsidR="00F16FD1" w:rsidRDefault="00F16FD1">
            <w:pPr>
              <w:rPr>
                <w:sz w:val="22"/>
                <w:szCs w:val="22"/>
              </w:rPr>
            </w:pPr>
          </w:p>
        </w:tc>
        <w:tc>
          <w:tcPr>
            <w:tcW w:w="2798" w:type="dxa"/>
            <w:vMerge/>
            <w:vAlign w:val="center"/>
          </w:tcPr>
          <w:p w:rsidR="00F16FD1" w:rsidRDefault="00F16FD1">
            <w:pPr>
              <w:rPr>
                <w:sz w:val="22"/>
                <w:szCs w:val="22"/>
              </w:rPr>
            </w:pPr>
          </w:p>
        </w:tc>
      </w:tr>
    </w:tbl>
    <w:p w:rsidR="00F16FD1" w:rsidRDefault="00F16FD1">
      <w:pPr>
        <w:rPr>
          <w:sz w:val="22"/>
          <w:szCs w:val="22"/>
        </w:rPr>
      </w:pPr>
    </w:p>
    <w:tbl>
      <w:tblPr>
        <w:tblW w:w="9923" w:type="dxa"/>
        <w:tblInd w:w="-34" w:type="dxa"/>
        <w:tblLayout w:type="fixed"/>
        <w:tblLook w:val="0000" w:firstRow="0" w:lastRow="0" w:firstColumn="0" w:lastColumn="0" w:noHBand="0" w:noVBand="0"/>
      </w:tblPr>
      <w:tblGrid>
        <w:gridCol w:w="2410"/>
        <w:gridCol w:w="7513"/>
      </w:tblGrid>
      <w:tr w:rsidR="00F16FD1">
        <w:tc>
          <w:tcPr>
            <w:tcW w:w="2410" w:type="dxa"/>
            <w:tcBorders>
              <w:top w:val="nil"/>
              <w:left w:val="nil"/>
              <w:bottom w:val="nil"/>
              <w:right w:val="nil"/>
            </w:tcBorders>
          </w:tcPr>
          <w:p w:rsidR="00F16FD1" w:rsidRDefault="00F16FD1">
            <w:pPr>
              <w:rPr>
                <w:b/>
                <w:bCs/>
                <w:sz w:val="22"/>
                <w:szCs w:val="22"/>
              </w:rPr>
            </w:pPr>
            <w:r>
              <w:rPr>
                <w:b/>
                <w:bCs/>
                <w:sz w:val="22"/>
                <w:szCs w:val="22"/>
              </w:rPr>
              <w:t>Proposal:</w:t>
            </w:r>
          </w:p>
        </w:tc>
        <w:tc>
          <w:tcPr>
            <w:tcW w:w="7513" w:type="dxa"/>
            <w:tcBorders>
              <w:top w:val="nil"/>
              <w:left w:val="nil"/>
              <w:bottom w:val="nil"/>
              <w:right w:val="nil"/>
            </w:tcBorders>
          </w:tcPr>
          <w:p w:rsidR="00F16FD1" w:rsidRDefault="00F16FD1">
            <w:pPr>
              <w:rPr>
                <w:sz w:val="22"/>
                <w:szCs w:val="22"/>
              </w:rPr>
            </w:pPr>
            <w:r>
              <w:rPr>
                <w:sz w:val="22"/>
                <w:szCs w:val="22"/>
              </w:rPr>
              <w:t>Erection of hotel and holiday lodge accommodation; controlled camping areas; leisure and recreational facilities; education and visitor interpretation facilities; hot food café / restaurant uses; transport infrastructure; public realm enhancements including footpaths and cycleways; viewing platform(s); appropriate ancillary uses; and landscaping and site development infrastructure including drainage and potential flood mitigation measures, SUDS measures, water supply, utilities etc.</w:t>
            </w:r>
          </w:p>
          <w:p w:rsidR="00F16FD1" w:rsidRDefault="00F16FD1">
            <w:pPr>
              <w:rPr>
                <w:sz w:val="22"/>
                <w:szCs w:val="22"/>
              </w:rPr>
            </w:pPr>
          </w:p>
        </w:tc>
      </w:tr>
      <w:tr w:rsidR="00F16FD1">
        <w:tc>
          <w:tcPr>
            <w:tcW w:w="2410" w:type="dxa"/>
            <w:tcBorders>
              <w:top w:val="nil"/>
              <w:left w:val="nil"/>
              <w:bottom w:val="nil"/>
              <w:right w:val="nil"/>
            </w:tcBorders>
          </w:tcPr>
          <w:p w:rsidR="00F16FD1" w:rsidRDefault="00F16FD1">
            <w:pPr>
              <w:rPr>
                <w:sz w:val="22"/>
                <w:szCs w:val="22"/>
              </w:rPr>
            </w:pPr>
            <w:r>
              <w:rPr>
                <w:b/>
                <w:bCs/>
                <w:sz w:val="22"/>
                <w:szCs w:val="22"/>
              </w:rPr>
              <w:t>Location:</w:t>
            </w:r>
          </w:p>
        </w:tc>
        <w:tc>
          <w:tcPr>
            <w:tcW w:w="7513" w:type="dxa"/>
            <w:tcBorders>
              <w:top w:val="nil"/>
              <w:left w:val="nil"/>
              <w:bottom w:val="nil"/>
              <w:right w:val="nil"/>
            </w:tcBorders>
          </w:tcPr>
          <w:p w:rsidR="00F3507C" w:rsidRDefault="00F3507C" w:rsidP="00F3507C">
            <w:pPr>
              <w:rPr>
                <w:sz w:val="22"/>
                <w:szCs w:val="22"/>
              </w:rPr>
            </w:pPr>
            <w:r>
              <w:rPr>
                <w:sz w:val="22"/>
                <w:szCs w:val="22"/>
              </w:rPr>
              <w:t>West Riverside And Woodbank House</w:t>
            </w:r>
          </w:p>
          <w:p w:rsidR="00F16FD1" w:rsidRDefault="00F3507C" w:rsidP="00F3507C">
            <w:pPr>
              <w:rPr>
                <w:sz w:val="22"/>
                <w:szCs w:val="22"/>
              </w:rPr>
            </w:pPr>
            <w:proofErr w:type="spellStart"/>
            <w:r>
              <w:rPr>
                <w:sz w:val="22"/>
                <w:szCs w:val="22"/>
              </w:rPr>
              <w:t>Balloch</w:t>
            </w:r>
            <w:proofErr w:type="spellEnd"/>
          </w:p>
        </w:tc>
      </w:tr>
      <w:tr w:rsidR="00F16FD1">
        <w:tc>
          <w:tcPr>
            <w:tcW w:w="2410" w:type="dxa"/>
            <w:tcBorders>
              <w:top w:val="nil"/>
              <w:left w:val="nil"/>
              <w:bottom w:val="nil"/>
              <w:right w:val="nil"/>
            </w:tcBorders>
          </w:tcPr>
          <w:p w:rsidR="00F16FD1" w:rsidRDefault="00F16FD1">
            <w:pPr>
              <w:rPr>
                <w:sz w:val="22"/>
                <w:szCs w:val="22"/>
              </w:rPr>
            </w:pPr>
            <w:r>
              <w:rPr>
                <w:b/>
                <w:bCs/>
                <w:sz w:val="22"/>
                <w:szCs w:val="22"/>
              </w:rPr>
              <w:t>Reference Number:</w:t>
            </w:r>
          </w:p>
        </w:tc>
        <w:tc>
          <w:tcPr>
            <w:tcW w:w="7513" w:type="dxa"/>
            <w:tcBorders>
              <w:top w:val="nil"/>
              <w:left w:val="nil"/>
              <w:bottom w:val="nil"/>
              <w:right w:val="nil"/>
            </w:tcBorders>
          </w:tcPr>
          <w:p w:rsidR="00F16FD1" w:rsidRDefault="00F16FD1">
            <w:pPr>
              <w:rPr>
                <w:sz w:val="22"/>
                <w:szCs w:val="22"/>
              </w:rPr>
            </w:pPr>
            <w:r>
              <w:rPr>
                <w:sz w:val="22"/>
                <w:szCs w:val="22"/>
              </w:rPr>
              <w:t>PSC/2017/0001</w:t>
            </w:r>
          </w:p>
        </w:tc>
      </w:tr>
    </w:tbl>
    <w:p w:rsidR="00F16FD1" w:rsidRDefault="00F16FD1">
      <w:pPr>
        <w:pBdr>
          <w:bottom w:val="single" w:sz="12" w:space="1" w:color="auto"/>
        </w:pBdr>
        <w:rPr>
          <w:sz w:val="22"/>
          <w:szCs w:val="22"/>
        </w:rPr>
      </w:pPr>
    </w:p>
    <w:p w:rsidR="00F16FD1" w:rsidRDefault="00F16FD1">
      <w:pPr>
        <w:rPr>
          <w:sz w:val="22"/>
          <w:szCs w:val="22"/>
        </w:rPr>
      </w:pPr>
    </w:p>
    <w:p w:rsidR="00F16FD1" w:rsidRDefault="00F16FD1">
      <w:pPr>
        <w:rPr>
          <w:sz w:val="22"/>
          <w:szCs w:val="22"/>
        </w:rPr>
      </w:pPr>
      <w:r>
        <w:rPr>
          <w:sz w:val="22"/>
          <w:szCs w:val="22"/>
        </w:rPr>
        <w:t xml:space="preserve">This enquiry relates to a type of development described in Schedule </w:t>
      </w:r>
      <w:proofErr w:type="gramStart"/>
      <w:r>
        <w:rPr>
          <w:sz w:val="22"/>
          <w:szCs w:val="22"/>
        </w:rPr>
        <w:t>2  of</w:t>
      </w:r>
      <w:proofErr w:type="gramEnd"/>
      <w:r>
        <w:rPr>
          <w:sz w:val="22"/>
          <w:szCs w:val="22"/>
        </w:rPr>
        <w:t xml:space="preserve"> the Environmental Impact Assessment (Scotland) Regulations 2011.  </w:t>
      </w:r>
    </w:p>
    <w:p w:rsidR="00F16FD1" w:rsidRDefault="00F16FD1">
      <w:pPr>
        <w:rPr>
          <w:sz w:val="22"/>
          <w:szCs w:val="22"/>
        </w:rPr>
      </w:pPr>
    </w:p>
    <w:p w:rsidR="00F16FD1" w:rsidRDefault="00F16FD1">
      <w:pPr>
        <w:rPr>
          <w:b/>
          <w:sz w:val="22"/>
          <w:szCs w:val="22"/>
        </w:rPr>
      </w:pPr>
      <w:r>
        <w:rPr>
          <w:b/>
          <w:sz w:val="22"/>
          <w:szCs w:val="22"/>
        </w:rPr>
        <w:t>Loch Lomond &amp; the Trossachs National Park, as Planning Authority, hereby adopts the Screening Opinion that an Environm</w:t>
      </w:r>
      <w:r w:rsidR="00AA7BFE">
        <w:rPr>
          <w:b/>
          <w:sz w:val="22"/>
          <w:szCs w:val="22"/>
        </w:rPr>
        <w:t>ental Impact Assessment will</w:t>
      </w:r>
      <w:r>
        <w:rPr>
          <w:b/>
          <w:sz w:val="22"/>
          <w:szCs w:val="22"/>
        </w:rPr>
        <w:t xml:space="preserve"> be required.</w:t>
      </w:r>
    </w:p>
    <w:p w:rsidR="00F16FD1" w:rsidRDefault="00F16FD1">
      <w:pPr>
        <w:rPr>
          <w:sz w:val="22"/>
          <w:szCs w:val="22"/>
        </w:rPr>
      </w:pPr>
    </w:p>
    <w:p w:rsidR="00F16FD1" w:rsidRDefault="00F16FD1">
      <w:pPr>
        <w:rPr>
          <w:sz w:val="22"/>
          <w:szCs w:val="22"/>
        </w:rPr>
      </w:pPr>
      <w:r>
        <w:rPr>
          <w:sz w:val="22"/>
          <w:szCs w:val="22"/>
        </w:rPr>
        <w:t>In reaching this opinion the Authority has had regard to Schedule 3 of the Regulations and in particular the following:</w:t>
      </w:r>
    </w:p>
    <w:p w:rsidR="00F16FD1" w:rsidRDefault="00F16FD1">
      <w:pPr>
        <w:rPr>
          <w:sz w:val="22"/>
          <w:szCs w:val="22"/>
        </w:rPr>
      </w:pPr>
    </w:p>
    <w:p w:rsidR="00F16FD1" w:rsidRDefault="00F16FD1">
      <w:pPr>
        <w:rPr>
          <w:b/>
          <w:sz w:val="22"/>
          <w:szCs w:val="22"/>
          <w:u w:val="single"/>
        </w:rPr>
      </w:pPr>
      <w:r>
        <w:rPr>
          <w:b/>
          <w:sz w:val="22"/>
          <w:szCs w:val="22"/>
          <w:u w:val="single"/>
        </w:rPr>
        <w:t>The characteristics of the development</w:t>
      </w:r>
    </w:p>
    <w:p w:rsidR="00F16FD1" w:rsidRDefault="00F16FD1">
      <w:pPr>
        <w:tabs>
          <w:tab w:val="left" w:pos="426"/>
        </w:tabs>
        <w:ind w:left="426"/>
        <w:rPr>
          <w:b/>
          <w:sz w:val="22"/>
          <w:szCs w:val="22"/>
        </w:rPr>
      </w:pPr>
    </w:p>
    <w:p w:rsidR="00F16FD1" w:rsidRDefault="00F16FD1">
      <w:pPr>
        <w:numPr>
          <w:ilvl w:val="0"/>
          <w:numId w:val="4"/>
        </w:numPr>
        <w:tabs>
          <w:tab w:val="left" w:pos="426"/>
        </w:tabs>
        <w:ind w:left="426"/>
        <w:rPr>
          <w:b/>
          <w:sz w:val="22"/>
          <w:szCs w:val="22"/>
        </w:rPr>
      </w:pPr>
      <w:r>
        <w:rPr>
          <w:b/>
          <w:sz w:val="22"/>
          <w:szCs w:val="22"/>
        </w:rPr>
        <w:t>Size of the development</w:t>
      </w:r>
    </w:p>
    <w:p w:rsidR="00F16FD1" w:rsidRDefault="00F16FD1">
      <w:pPr>
        <w:tabs>
          <w:tab w:val="left" w:pos="426"/>
        </w:tabs>
        <w:ind w:left="426"/>
        <w:rPr>
          <w:sz w:val="22"/>
          <w:szCs w:val="22"/>
        </w:rPr>
      </w:pPr>
    </w:p>
    <w:p w:rsidR="00F16FD1" w:rsidRDefault="008B6BFF">
      <w:pPr>
        <w:tabs>
          <w:tab w:val="left" w:pos="426"/>
        </w:tabs>
        <w:ind w:left="426"/>
        <w:rPr>
          <w:sz w:val="22"/>
          <w:szCs w:val="22"/>
        </w:rPr>
      </w:pPr>
      <w:r>
        <w:rPr>
          <w:sz w:val="22"/>
          <w:szCs w:val="22"/>
        </w:rPr>
        <w:t>The size of the development is considered to be more than locally significant and will include a significant degree of consequential works including transport infrastructure, landscaping, new water and power supply and waste water connection.</w:t>
      </w:r>
    </w:p>
    <w:p w:rsidR="008B6BFF" w:rsidRDefault="008B6BFF">
      <w:pPr>
        <w:tabs>
          <w:tab w:val="left" w:pos="426"/>
        </w:tabs>
        <w:ind w:left="426"/>
        <w:rPr>
          <w:sz w:val="22"/>
          <w:szCs w:val="22"/>
        </w:rPr>
      </w:pPr>
    </w:p>
    <w:p w:rsidR="00F16FD1" w:rsidRDefault="00F16FD1">
      <w:pPr>
        <w:numPr>
          <w:ilvl w:val="0"/>
          <w:numId w:val="4"/>
        </w:numPr>
        <w:tabs>
          <w:tab w:val="left" w:pos="426"/>
        </w:tabs>
        <w:ind w:left="426"/>
        <w:rPr>
          <w:b/>
          <w:sz w:val="22"/>
          <w:szCs w:val="22"/>
        </w:rPr>
      </w:pPr>
      <w:r>
        <w:rPr>
          <w:b/>
          <w:sz w:val="22"/>
          <w:szCs w:val="22"/>
        </w:rPr>
        <w:t>Cumulation with other development</w:t>
      </w:r>
    </w:p>
    <w:p w:rsidR="00F16FD1" w:rsidRDefault="00F16FD1">
      <w:pPr>
        <w:tabs>
          <w:tab w:val="left" w:pos="426"/>
        </w:tabs>
        <w:ind w:left="426"/>
        <w:rPr>
          <w:sz w:val="22"/>
          <w:szCs w:val="22"/>
        </w:rPr>
      </w:pPr>
    </w:p>
    <w:p w:rsidR="008B6BFF" w:rsidRDefault="008B6BFF">
      <w:pPr>
        <w:tabs>
          <w:tab w:val="left" w:pos="426"/>
        </w:tabs>
        <w:ind w:left="426"/>
        <w:rPr>
          <w:sz w:val="22"/>
          <w:szCs w:val="22"/>
        </w:rPr>
      </w:pPr>
      <w:r>
        <w:rPr>
          <w:sz w:val="22"/>
          <w:szCs w:val="22"/>
        </w:rPr>
        <w:t xml:space="preserve">The development is within close proximity to Lomond Shores, one of the largest </w:t>
      </w:r>
      <w:r w:rsidR="001674E1">
        <w:rPr>
          <w:sz w:val="22"/>
          <w:szCs w:val="22"/>
        </w:rPr>
        <w:t xml:space="preserve">mixed use </w:t>
      </w:r>
      <w:r>
        <w:rPr>
          <w:sz w:val="22"/>
          <w:szCs w:val="22"/>
        </w:rPr>
        <w:t>developments within the National</w:t>
      </w:r>
      <w:r w:rsidR="001674E1">
        <w:rPr>
          <w:sz w:val="22"/>
          <w:szCs w:val="22"/>
        </w:rPr>
        <w:t xml:space="preserve"> Park</w:t>
      </w:r>
      <w:r>
        <w:rPr>
          <w:sz w:val="22"/>
          <w:szCs w:val="22"/>
        </w:rPr>
        <w:t xml:space="preserve"> and is in close proximity to </w:t>
      </w:r>
      <w:proofErr w:type="spellStart"/>
      <w:r>
        <w:rPr>
          <w:sz w:val="22"/>
          <w:szCs w:val="22"/>
        </w:rPr>
        <w:t>Balloch</w:t>
      </w:r>
      <w:proofErr w:type="spellEnd"/>
      <w:r>
        <w:rPr>
          <w:sz w:val="22"/>
          <w:szCs w:val="22"/>
        </w:rPr>
        <w:t xml:space="preserve"> itself.</w:t>
      </w:r>
    </w:p>
    <w:p w:rsidR="00F16FD1" w:rsidRDefault="00F16FD1">
      <w:pPr>
        <w:tabs>
          <w:tab w:val="left" w:pos="426"/>
        </w:tabs>
        <w:ind w:left="426"/>
        <w:rPr>
          <w:sz w:val="22"/>
          <w:szCs w:val="22"/>
        </w:rPr>
      </w:pPr>
    </w:p>
    <w:p w:rsidR="00F16FD1" w:rsidRDefault="00F16FD1">
      <w:pPr>
        <w:numPr>
          <w:ilvl w:val="0"/>
          <w:numId w:val="4"/>
        </w:numPr>
        <w:tabs>
          <w:tab w:val="left" w:pos="426"/>
        </w:tabs>
        <w:ind w:left="426"/>
        <w:rPr>
          <w:b/>
          <w:sz w:val="22"/>
          <w:szCs w:val="22"/>
        </w:rPr>
      </w:pPr>
      <w:r>
        <w:rPr>
          <w:b/>
          <w:sz w:val="22"/>
          <w:szCs w:val="22"/>
        </w:rPr>
        <w:t>Use of natural resources</w:t>
      </w:r>
    </w:p>
    <w:p w:rsidR="00F16FD1" w:rsidRDefault="00F16FD1">
      <w:pPr>
        <w:tabs>
          <w:tab w:val="left" w:pos="426"/>
        </w:tabs>
        <w:ind w:left="426"/>
        <w:rPr>
          <w:sz w:val="22"/>
          <w:szCs w:val="22"/>
        </w:rPr>
      </w:pPr>
    </w:p>
    <w:p w:rsidR="00F16FD1" w:rsidRDefault="008B6BFF">
      <w:pPr>
        <w:tabs>
          <w:tab w:val="left" w:pos="426"/>
        </w:tabs>
        <w:ind w:left="426"/>
        <w:rPr>
          <w:sz w:val="22"/>
          <w:szCs w:val="22"/>
        </w:rPr>
      </w:pPr>
      <w:r>
        <w:rPr>
          <w:sz w:val="22"/>
          <w:szCs w:val="22"/>
        </w:rPr>
        <w:t>The scale of the development is such that there will be a significant use of natural resources including land, water, aggregates, timber and energy.  This is both during construction and operation.</w:t>
      </w:r>
    </w:p>
    <w:p w:rsidR="00F16FD1" w:rsidRDefault="00F16FD1">
      <w:pPr>
        <w:tabs>
          <w:tab w:val="left" w:pos="426"/>
        </w:tabs>
        <w:ind w:left="426"/>
        <w:rPr>
          <w:sz w:val="22"/>
          <w:szCs w:val="22"/>
        </w:rPr>
      </w:pPr>
    </w:p>
    <w:p w:rsidR="00F16FD1" w:rsidRDefault="00F16FD1">
      <w:pPr>
        <w:numPr>
          <w:ilvl w:val="0"/>
          <w:numId w:val="4"/>
        </w:numPr>
        <w:tabs>
          <w:tab w:val="left" w:pos="426"/>
        </w:tabs>
        <w:ind w:left="426"/>
        <w:rPr>
          <w:b/>
          <w:sz w:val="22"/>
          <w:szCs w:val="22"/>
        </w:rPr>
      </w:pPr>
      <w:r>
        <w:rPr>
          <w:b/>
          <w:sz w:val="22"/>
          <w:szCs w:val="22"/>
        </w:rPr>
        <w:lastRenderedPageBreak/>
        <w:t>Production of waste</w:t>
      </w:r>
    </w:p>
    <w:p w:rsidR="00F16FD1" w:rsidRDefault="00F16FD1">
      <w:pPr>
        <w:tabs>
          <w:tab w:val="left" w:pos="426"/>
        </w:tabs>
        <w:ind w:left="426"/>
        <w:rPr>
          <w:sz w:val="22"/>
          <w:szCs w:val="22"/>
        </w:rPr>
      </w:pPr>
    </w:p>
    <w:p w:rsidR="00F16FD1" w:rsidRDefault="008B6BFF">
      <w:pPr>
        <w:tabs>
          <w:tab w:val="left" w:pos="426"/>
        </w:tabs>
        <w:ind w:left="426"/>
        <w:rPr>
          <w:sz w:val="22"/>
          <w:szCs w:val="22"/>
        </w:rPr>
      </w:pPr>
      <w:r>
        <w:rPr>
          <w:sz w:val="22"/>
          <w:szCs w:val="22"/>
        </w:rPr>
        <w:t>The scale of the development is such that there will potentially be a significant amount of waste production as a result of construction and during the operation of the development.</w:t>
      </w:r>
    </w:p>
    <w:p w:rsidR="008B6BFF" w:rsidRDefault="008B6BFF">
      <w:pPr>
        <w:tabs>
          <w:tab w:val="left" w:pos="426"/>
        </w:tabs>
        <w:ind w:left="426"/>
        <w:rPr>
          <w:sz w:val="22"/>
          <w:szCs w:val="22"/>
        </w:rPr>
      </w:pPr>
    </w:p>
    <w:p w:rsidR="00F16FD1" w:rsidRDefault="00F16FD1">
      <w:pPr>
        <w:numPr>
          <w:ilvl w:val="0"/>
          <w:numId w:val="4"/>
        </w:numPr>
        <w:tabs>
          <w:tab w:val="left" w:pos="426"/>
        </w:tabs>
        <w:ind w:left="426"/>
        <w:rPr>
          <w:b/>
          <w:sz w:val="22"/>
          <w:szCs w:val="22"/>
        </w:rPr>
      </w:pPr>
      <w:r>
        <w:rPr>
          <w:b/>
          <w:sz w:val="22"/>
          <w:szCs w:val="22"/>
        </w:rPr>
        <w:t>Pollution and nuisances</w:t>
      </w:r>
    </w:p>
    <w:p w:rsidR="00F16FD1" w:rsidRDefault="00F16FD1">
      <w:pPr>
        <w:tabs>
          <w:tab w:val="left" w:pos="426"/>
        </w:tabs>
        <w:ind w:left="426"/>
        <w:rPr>
          <w:sz w:val="22"/>
          <w:szCs w:val="22"/>
        </w:rPr>
      </w:pPr>
    </w:p>
    <w:p w:rsidR="00F16FD1" w:rsidRDefault="008B6BFF">
      <w:pPr>
        <w:tabs>
          <w:tab w:val="left" w:pos="426"/>
        </w:tabs>
        <w:ind w:left="426"/>
        <w:rPr>
          <w:sz w:val="22"/>
          <w:szCs w:val="22"/>
        </w:rPr>
      </w:pPr>
      <w:r>
        <w:rPr>
          <w:sz w:val="22"/>
          <w:szCs w:val="22"/>
        </w:rPr>
        <w:t>The development is in close proximity to Loch Lomond and the River Leven.  There is a possible significant impact on the loch and river system due to potential pollution and sediment or man-made contaminants as a consequence of construction.  This is in addition to the historic contamination of the land</w:t>
      </w:r>
      <w:r w:rsidR="00ED0BDE">
        <w:rPr>
          <w:sz w:val="22"/>
          <w:szCs w:val="22"/>
        </w:rPr>
        <w:t>.</w:t>
      </w:r>
    </w:p>
    <w:p w:rsidR="00ED0BDE" w:rsidRDefault="00ED0BDE">
      <w:pPr>
        <w:tabs>
          <w:tab w:val="left" w:pos="426"/>
        </w:tabs>
        <w:ind w:left="426"/>
        <w:rPr>
          <w:sz w:val="22"/>
          <w:szCs w:val="22"/>
        </w:rPr>
      </w:pPr>
    </w:p>
    <w:p w:rsidR="00ED0BDE" w:rsidRDefault="00ED0BDE">
      <w:pPr>
        <w:tabs>
          <w:tab w:val="left" w:pos="426"/>
        </w:tabs>
        <w:ind w:left="426"/>
        <w:rPr>
          <w:sz w:val="22"/>
          <w:szCs w:val="22"/>
        </w:rPr>
      </w:pPr>
      <w:r>
        <w:rPr>
          <w:sz w:val="22"/>
          <w:szCs w:val="22"/>
        </w:rPr>
        <w:t xml:space="preserve">The development is in close proximity to </w:t>
      </w:r>
      <w:proofErr w:type="spellStart"/>
      <w:r>
        <w:rPr>
          <w:sz w:val="22"/>
          <w:szCs w:val="22"/>
        </w:rPr>
        <w:t>Balloch</w:t>
      </w:r>
      <w:proofErr w:type="spellEnd"/>
      <w:r>
        <w:rPr>
          <w:sz w:val="22"/>
          <w:szCs w:val="22"/>
        </w:rPr>
        <w:t>, neighbouring residences and businesses could be impacted upon due to the potential long construction period and noise associated with the construction and operation of the development.</w:t>
      </w:r>
    </w:p>
    <w:p w:rsidR="00F16FD1" w:rsidRDefault="00ED0BDE" w:rsidP="00D21234">
      <w:pPr>
        <w:tabs>
          <w:tab w:val="left" w:pos="426"/>
        </w:tabs>
        <w:ind w:left="426"/>
        <w:rPr>
          <w:sz w:val="22"/>
          <w:szCs w:val="22"/>
        </w:rPr>
      </w:pPr>
      <w:r>
        <w:rPr>
          <w:sz w:val="22"/>
          <w:szCs w:val="22"/>
        </w:rPr>
        <w:t xml:space="preserve"> </w:t>
      </w:r>
    </w:p>
    <w:p w:rsidR="00F16FD1" w:rsidRDefault="00F16FD1">
      <w:pPr>
        <w:numPr>
          <w:ilvl w:val="0"/>
          <w:numId w:val="4"/>
        </w:numPr>
        <w:tabs>
          <w:tab w:val="left" w:pos="426"/>
        </w:tabs>
        <w:ind w:left="426"/>
        <w:rPr>
          <w:b/>
          <w:sz w:val="22"/>
          <w:szCs w:val="22"/>
        </w:rPr>
      </w:pPr>
      <w:r>
        <w:rPr>
          <w:b/>
          <w:sz w:val="22"/>
          <w:szCs w:val="22"/>
        </w:rPr>
        <w:t xml:space="preserve">Other characteristics - potential physical changes (topography, land use, changes in waterbodies </w:t>
      </w:r>
      <w:proofErr w:type="spellStart"/>
      <w:r>
        <w:rPr>
          <w:b/>
          <w:sz w:val="22"/>
          <w:szCs w:val="22"/>
        </w:rPr>
        <w:t>etc</w:t>
      </w:r>
      <w:proofErr w:type="spellEnd"/>
      <w:r>
        <w:rPr>
          <w:b/>
          <w:sz w:val="22"/>
          <w:szCs w:val="22"/>
        </w:rPr>
        <w:t>) from construction, operation or decommissioning of the development</w:t>
      </w:r>
    </w:p>
    <w:p w:rsidR="00F16FD1" w:rsidRDefault="00F16FD1">
      <w:pPr>
        <w:tabs>
          <w:tab w:val="left" w:pos="426"/>
        </w:tabs>
        <w:ind w:left="426"/>
        <w:rPr>
          <w:sz w:val="22"/>
          <w:szCs w:val="22"/>
        </w:rPr>
      </w:pPr>
    </w:p>
    <w:p w:rsidR="00F16FD1" w:rsidRDefault="00D21234">
      <w:pPr>
        <w:tabs>
          <w:tab w:val="left" w:pos="426"/>
        </w:tabs>
        <w:ind w:left="426"/>
        <w:rPr>
          <w:sz w:val="22"/>
          <w:szCs w:val="22"/>
        </w:rPr>
      </w:pPr>
      <w:r>
        <w:rPr>
          <w:sz w:val="22"/>
          <w:szCs w:val="22"/>
        </w:rPr>
        <w:t>The development will result in a significant increase in use of 33.5ha of land and loss of woodland.  The</w:t>
      </w:r>
      <w:r w:rsidR="001674E1">
        <w:rPr>
          <w:sz w:val="22"/>
          <w:szCs w:val="22"/>
        </w:rPr>
        <w:t xml:space="preserve"> combination of proposed use </w:t>
      </w:r>
      <w:r>
        <w:rPr>
          <w:sz w:val="22"/>
          <w:szCs w:val="22"/>
        </w:rPr>
        <w:t xml:space="preserve">will result in a significant increase in traffic to the site, this is vehicular, pedestrian, and train traffic.  </w:t>
      </w:r>
    </w:p>
    <w:p w:rsidR="00F16FD1" w:rsidRDefault="00F16FD1">
      <w:pPr>
        <w:tabs>
          <w:tab w:val="left" w:pos="426"/>
        </w:tabs>
        <w:rPr>
          <w:b/>
          <w:sz w:val="22"/>
          <w:szCs w:val="22"/>
        </w:rPr>
      </w:pPr>
    </w:p>
    <w:p w:rsidR="00F16FD1" w:rsidRDefault="00F16FD1">
      <w:pPr>
        <w:tabs>
          <w:tab w:val="left" w:pos="426"/>
        </w:tabs>
        <w:rPr>
          <w:b/>
          <w:sz w:val="22"/>
          <w:szCs w:val="22"/>
          <w:u w:val="single"/>
        </w:rPr>
      </w:pPr>
      <w:r>
        <w:rPr>
          <w:b/>
          <w:sz w:val="22"/>
          <w:szCs w:val="22"/>
          <w:u w:val="single"/>
        </w:rPr>
        <w:t>The location of the development</w:t>
      </w:r>
    </w:p>
    <w:p w:rsidR="00F16FD1" w:rsidRDefault="00F16FD1">
      <w:pPr>
        <w:rPr>
          <w:sz w:val="22"/>
          <w:szCs w:val="22"/>
        </w:rPr>
      </w:pPr>
    </w:p>
    <w:p w:rsidR="00F16FD1" w:rsidRDefault="00F16FD1">
      <w:pPr>
        <w:numPr>
          <w:ilvl w:val="0"/>
          <w:numId w:val="5"/>
        </w:numPr>
        <w:ind w:left="426"/>
        <w:rPr>
          <w:b/>
          <w:sz w:val="22"/>
          <w:szCs w:val="22"/>
        </w:rPr>
      </w:pPr>
      <w:r>
        <w:rPr>
          <w:b/>
          <w:sz w:val="22"/>
          <w:szCs w:val="22"/>
        </w:rPr>
        <w:t>Location of site</w:t>
      </w:r>
    </w:p>
    <w:p w:rsidR="00F16FD1" w:rsidRDefault="00F16FD1">
      <w:pPr>
        <w:ind w:left="426"/>
        <w:rPr>
          <w:sz w:val="22"/>
          <w:szCs w:val="22"/>
        </w:rPr>
      </w:pPr>
    </w:p>
    <w:p w:rsidR="00F16FD1" w:rsidRDefault="00D41C75">
      <w:pPr>
        <w:ind w:left="426"/>
        <w:rPr>
          <w:sz w:val="22"/>
          <w:szCs w:val="22"/>
        </w:rPr>
      </w:pPr>
      <w:r>
        <w:rPr>
          <w:sz w:val="22"/>
          <w:szCs w:val="22"/>
        </w:rPr>
        <w:t xml:space="preserve">The site is located within an </w:t>
      </w:r>
      <w:proofErr w:type="spellStart"/>
      <w:r>
        <w:rPr>
          <w:sz w:val="22"/>
          <w:szCs w:val="22"/>
        </w:rPr>
        <w:t>environmentaly</w:t>
      </w:r>
      <w:proofErr w:type="spellEnd"/>
      <w:r>
        <w:rPr>
          <w:sz w:val="22"/>
          <w:szCs w:val="22"/>
        </w:rPr>
        <w:t xml:space="preserve"> sensitive area, Loch Lomond and the Trossachs National Park</w:t>
      </w:r>
      <w:r w:rsidR="00D62FCE">
        <w:rPr>
          <w:sz w:val="22"/>
          <w:szCs w:val="22"/>
        </w:rPr>
        <w:t xml:space="preserve"> on Loch Lomond loch shore</w:t>
      </w:r>
      <w:r>
        <w:rPr>
          <w:sz w:val="22"/>
          <w:szCs w:val="22"/>
        </w:rPr>
        <w:t>;</w:t>
      </w:r>
      <w:r w:rsidR="007F344D">
        <w:rPr>
          <w:sz w:val="22"/>
          <w:szCs w:val="22"/>
        </w:rPr>
        <w:t xml:space="preserve"> Woodbank House is category A listed and there are numerous listed buildings in close proximity;</w:t>
      </w:r>
      <w:r>
        <w:rPr>
          <w:sz w:val="22"/>
          <w:szCs w:val="22"/>
        </w:rPr>
        <w:t xml:space="preserve"> it is in close proximity to residential properties and businesses</w:t>
      </w:r>
      <w:r w:rsidR="007F344D">
        <w:rPr>
          <w:sz w:val="22"/>
          <w:szCs w:val="22"/>
        </w:rPr>
        <w:t>; there are numerous recreational activities within close proximity to the site and</w:t>
      </w:r>
      <w:r w:rsidR="00D21234">
        <w:rPr>
          <w:sz w:val="22"/>
          <w:szCs w:val="22"/>
        </w:rPr>
        <w:t xml:space="preserve"> access rights through the site</w:t>
      </w:r>
      <w:r w:rsidR="007F344D">
        <w:rPr>
          <w:sz w:val="22"/>
          <w:szCs w:val="22"/>
        </w:rPr>
        <w:t>.</w:t>
      </w:r>
    </w:p>
    <w:p w:rsidR="00F16FD1" w:rsidRDefault="00F16FD1">
      <w:pPr>
        <w:rPr>
          <w:sz w:val="22"/>
          <w:szCs w:val="22"/>
        </w:rPr>
      </w:pPr>
    </w:p>
    <w:p w:rsidR="00F16FD1" w:rsidRDefault="00F16FD1">
      <w:pPr>
        <w:numPr>
          <w:ilvl w:val="0"/>
          <w:numId w:val="5"/>
        </w:numPr>
        <w:ind w:left="426"/>
        <w:rPr>
          <w:b/>
          <w:sz w:val="22"/>
          <w:szCs w:val="22"/>
        </w:rPr>
      </w:pPr>
      <w:r>
        <w:rPr>
          <w:b/>
          <w:sz w:val="22"/>
          <w:szCs w:val="22"/>
        </w:rPr>
        <w:t>Relative abundance, quality and regenerative capacity of natural resources in the area</w:t>
      </w:r>
    </w:p>
    <w:p w:rsidR="00F16FD1" w:rsidRDefault="00F16FD1">
      <w:pPr>
        <w:ind w:left="426"/>
        <w:rPr>
          <w:sz w:val="22"/>
          <w:szCs w:val="22"/>
        </w:rPr>
      </w:pPr>
    </w:p>
    <w:p w:rsidR="00F16FD1" w:rsidRDefault="008651D1" w:rsidP="00D21234">
      <w:pPr>
        <w:ind w:left="426"/>
        <w:rPr>
          <w:sz w:val="22"/>
          <w:szCs w:val="22"/>
        </w:rPr>
      </w:pPr>
      <w:r>
        <w:rPr>
          <w:sz w:val="22"/>
          <w:szCs w:val="22"/>
        </w:rPr>
        <w:t>The development could result in the loss of native woodland and impact on the ground water body wher</w:t>
      </w:r>
      <w:r w:rsidR="001674E1">
        <w:rPr>
          <w:sz w:val="22"/>
          <w:szCs w:val="22"/>
        </w:rPr>
        <w:t>e SEPA classification is ‘good’.</w:t>
      </w:r>
    </w:p>
    <w:p w:rsidR="008651D1" w:rsidRDefault="008651D1">
      <w:pPr>
        <w:rPr>
          <w:sz w:val="22"/>
          <w:szCs w:val="22"/>
        </w:rPr>
      </w:pPr>
    </w:p>
    <w:p w:rsidR="00F16FD1" w:rsidRDefault="00F16FD1">
      <w:pPr>
        <w:numPr>
          <w:ilvl w:val="0"/>
          <w:numId w:val="5"/>
        </w:numPr>
        <w:ind w:left="426"/>
        <w:rPr>
          <w:b/>
          <w:sz w:val="22"/>
          <w:szCs w:val="22"/>
        </w:rPr>
      </w:pPr>
      <w:r>
        <w:rPr>
          <w:b/>
          <w:sz w:val="22"/>
          <w:szCs w:val="22"/>
        </w:rPr>
        <w:t>Absorption capacity of the natural environment</w:t>
      </w:r>
    </w:p>
    <w:p w:rsidR="00F16FD1" w:rsidRDefault="00F16FD1">
      <w:pPr>
        <w:ind w:left="426"/>
        <w:rPr>
          <w:sz w:val="22"/>
          <w:szCs w:val="22"/>
        </w:rPr>
      </w:pPr>
    </w:p>
    <w:p w:rsidR="00F16FD1" w:rsidRDefault="008651D1" w:rsidP="00D21234">
      <w:pPr>
        <w:ind w:left="426"/>
        <w:rPr>
          <w:sz w:val="22"/>
          <w:szCs w:val="22"/>
        </w:rPr>
      </w:pPr>
      <w:r>
        <w:rPr>
          <w:sz w:val="22"/>
          <w:szCs w:val="22"/>
        </w:rPr>
        <w:t>The site is within 1.3km of Loch Lomond National Scenic Area (NSA) and development will be visible from the NSA</w:t>
      </w:r>
      <w:r w:rsidR="00D62FCE">
        <w:rPr>
          <w:sz w:val="22"/>
          <w:szCs w:val="22"/>
        </w:rPr>
        <w:t xml:space="preserve"> – landscape impact is therefore a key significant impact</w:t>
      </w:r>
      <w:r>
        <w:rPr>
          <w:sz w:val="22"/>
          <w:szCs w:val="22"/>
        </w:rPr>
        <w:t>.  Depending on the extent of woodland removal there could be a potentially significant impact on the woodland.  Access rights exist throughout the site and these require to be maintained.  Due to the scale and nature of development, traffic congestion could have a significant impact on surrounding land uses.</w:t>
      </w:r>
    </w:p>
    <w:p w:rsidR="008651D1" w:rsidRDefault="008651D1">
      <w:pPr>
        <w:rPr>
          <w:sz w:val="22"/>
          <w:szCs w:val="22"/>
        </w:rPr>
      </w:pPr>
    </w:p>
    <w:p w:rsidR="00F16FD1" w:rsidRDefault="00F16FD1">
      <w:pPr>
        <w:rPr>
          <w:b/>
          <w:sz w:val="22"/>
          <w:szCs w:val="22"/>
          <w:u w:val="single"/>
        </w:rPr>
      </w:pPr>
      <w:r>
        <w:rPr>
          <w:b/>
          <w:sz w:val="22"/>
          <w:szCs w:val="22"/>
          <w:u w:val="single"/>
        </w:rPr>
        <w:t>Characteristics of the potential impact</w:t>
      </w:r>
    </w:p>
    <w:p w:rsidR="00F16FD1" w:rsidRDefault="00F16FD1">
      <w:pPr>
        <w:rPr>
          <w:sz w:val="22"/>
          <w:szCs w:val="22"/>
        </w:rPr>
      </w:pPr>
    </w:p>
    <w:p w:rsidR="00F16FD1" w:rsidRDefault="008651D1" w:rsidP="00D21234">
      <w:pPr>
        <w:ind w:left="426"/>
        <w:rPr>
          <w:sz w:val="22"/>
          <w:szCs w:val="22"/>
        </w:rPr>
      </w:pPr>
      <w:r>
        <w:rPr>
          <w:sz w:val="22"/>
          <w:szCs w:val="22"/>
        </w:rPr>
        <w:t>The development</w:t>
      </w:r>
      <w:r w:rsidR="00D62FCE">
        <w:rPr>
          <w:sz w:val="22"/>
          <w:szCs w:val="22"/>
        </w:rPr>
        <w:t xml:space="preserve"> is permanent and</w:t>
      </w:r>
      <w:r>
        <w:rPr>
          <w:sz w:val="22"/>
          <w:szCs w:val="22"/>
        </w:rPr>
        <w:t xml:space="preserve"> will </w:t>
      </w:r>
      <w:r w:rsidR="001674E1">
        <w:rPr>
          <w:sz w:val="22"/>
          <w:szCs w:val="22"/>
        </w:rPr>
        <w:t>have an impact on a large area (</w:t>
      </w:r>
      <w:r>
        <w:rPr>
          <w:sz w:val="22"/>
          <w:szCs w:val="22"/>
        </w:rPr>
        <w:t>33.5ha</w:t>
      </w:r>
      <w:r w:rsidR="001674E1">
        <w:rPr>
          <w:sz w:val="22"/>
          <w:szCs w:val="22"/>
        </w:rPr>
        <w:t>)</w:t>
      </w:r>
      <w:r>
        <w:rPr>
          <w:sz w:val="22"/>
          <w:szCs w:val="22"/>
        </w:rPr>
        <w:t xml:space="preserve"> and will have an impact on both visitors to the National Park, residents and businesses.</w:t>
      </w:r>
      <w:r w:rsidR="00D62FCE">
        <w:rPr>
          <w:sz w:val="22"/>
          <w:szCs w:val="22"/>
        </w:rPr>
        <w:t xml:space="preserve">  The proposal is complex and large scale.  The construction period is likely to be long and any impacts during construction will be prolonged in terms of construction traffic, noise and pollution.  The operation of the development also gives rise to potential significant environmental impact in terms of landscape impact, traffic increase and noise nuisance.  </w:t>
      </w:r>
    </w:p>
    <w:p w:rsidR="00F16FD1" w:rsidRDefault="00F16FD1">
      <w:pPr>
        <w:pBdr>
          <w:bottom w:val="single" w:sz="12" w:space="1" w:color="auto"/>
        </w:pBdr>
        <w:rPr>
          <w:sz w:val="22"/>
          <w:szCs w:val="22"/>
        </w:rPr>
      </w:pPr>
    </w:p>
    <w:p w:rsidR="00F16FD1" w:rsidRDefault="00F16FD1">
      <w:pPr>
        <w:ind w:left="66"/>
        <w:rPr>
          <w:sz w:val="22"/>
          <w:szCs w:val="22"/>
        </w:rPr>
      </w:pPr>
    </w:p>
    <w:p w:rsidR="00F16FD1" w:rsidRDefault="00F16FD1">
      <w:pPr>
        <w:pStyle w:val="Heading2"/>
        <w:rPr>
          <w:b w:val="0"/>
          <w:szCs w:val="22"/>
          <w:lang w:eastAsia="en-GB"/>
        </w:rPr>
      </w:pPr>
      <w:r>
        <w:rPr>
          <w:b w:val="0"/>
          <w:szCs w:val="22"/>
          <w:lang w:eastAsia="en-GB"/>
        </w:rPr>
        <w:t>In relation to the development proposed it</w:t>
      </w:r>
      <w:r w:rsidR="00D62FCE">
        <w:rPr>
          <w:b w:val="0"/>
          <w:szCs w:val="22"/>
          <w:lang w:eastAsia="en-GB"/>
        </w:rPr>
        <w:t xml:space="preserve"> is considered that there is </w:t>
      </w:r>
      <w:r w:rsidR="00DA3304">
        <w:rPr>
          <w:b w:val="0"/>
          <w:szCs w:val="22"/>
          <w:lang w:eastAsia="en-GB"/>
        </w:rPr>
        <w:t xml:space="preserve">a </w:t>
      </w:r>
      <w:r w:rsidR="00D62FCE">
        <w:rPr>
          <w:b w:val="0"/>
          <w:szCs w:val="22"/>
          <w:lang w:eastAsia="en-GB"/>
        </w:rPr>
        <w:t>high</w:t>
      </w:r>
      <w:r w:rsidR="00DA3304">
        <w:rPr>
          <w:b w:val="0"/>
          <w:szCs w:val="22"/>
          <w:lang w:eastAsia="en-GB"/>
        </w:rPr>
        <w:t xml:space="preserve"> probability of </w:t>
      </w:r>
      <w:r>
        <w:rPr>
          <w:b w:val="0"/>
          <w:szCs w:val="22"/>
          <w:lang w:eastAsia="en-GB"/>
        </w:rPr>
        <w:t>significant impact having regard to the criteria set out in Schedule 3 of the regulations and, in particular, having regard to the scale and characteristics of the proposed land use in the location proposed</w:t>
      </w:r>
      <w:r w:rsidR="00D21234">
        <w:rPr>
          <w:b w:val="0"/>
          <w:szCs w:val="22"/>
          <w:lang w:eastAsia="en-GB"/>
        </w:rPr>
        <w:t xml:space="preserve">, the development is an </w:t>
      </w:r>
      <w:r w:rsidR="00D21234" w:rsidRPr="00D21234">
        <w:rPr>
          <w:szCs w:val="22"/>
          <w:lang w:eastAsia="en-GB"/>
        </w:rPr>
        <w:t>EIA development</w:t>
      </w:r>
      <w:r w:rsidRPr="00D21234">
        <w:rPr>
          <w:szCs w:val="22"/>
          <w:lang w:eastAsia="en-GB"/>
        </w:rPr>
        <w:t>.</w:t>
      </w:r>
    </w:p>
    <w:p w:rsidR="00F16FD1" w:rsidRDefault="00F16FD1">
      <w:pPr>
        <w:rPr>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820"/>
        <w:gridCol w:w="1246"/>
        <w:gridCol w:w="2436"/>
      </w:tblGrid>
      <w:tr w:rsidR="00F16FD1">
        <w:trPr>
          <w:trHeight w:val="399"/>
        </w:trPr>
        <w:tc>
          <w:tcPr>
            <w:tcW w:w="1242" w:type="dxa"/>
            <w:vAlign w:val="center"/>
          </w:tcPr>
          <w:p w:rsidR="00F16FD1" w:rsidRDefault="00F16FD1">
            <w:pPr>
              <w:jc w:val="right"/>
              <w:rPr>
                <w:sz w:val="22"/>
                <w:szCs w:val="22"/>
                <w:lang w:eastAsia="en-GB"/>
              </w:rPr>
            </w:pPr>
            <w:r>
              <w:rPr>
                <w:sz w:val="22"/>
                <w:szCs w:val="22"/>
                <w:lang w:eastAsia="en-GB"/>
              </w:rPr>
              <w:t>Signed</w:t>
            </w:r>
          </w:p>
        </w:tc>
        <w:tc>
          <w:tcPr>
            <w:tcW w:w="4820" w:type="dxa"/>
            <w:tcBorders>
              <w:bottom w:val="single" w:sz="4" w:space="0" w:color="auto"/>
            </w:tcBorders>
          </w:tcPr>
          <w:p w:rsidR="00F16FD1" w:rsidRDefault="00AA7BFE">
            <w:pPr>
              <w:rPr>
                <w:sz w:val="22"/>
                <w:szCs w:val="22"/>
                <w:lang w:eastAsia="en-GB"/>
              </w:rPr>
            </w:pPr>
            <w:r>
              <w:rPr>
                <w:sz w:val="22"/>
                <w:szCs w:val="22"/>
                <w:lang w:eastAsia="en-GB"/>
              </w:rPr>
              <w:t>Julie Gray</w:t>
            </w:r>
          </w:p>
        </w:tc>
        <w:tc>
          <w:tcPr>
            <w:tcW w:w="1246" w:type="dxa"/>
            <w:vAlign w:val="center"/>
          </w:tcPr>
          <w:p w:rsidR="00F16FD1" w:rsidRDefault="00F16FD1">
            <w:pPr>
              <w:jc w:val="right"/>
              <w:rPr>
                <w:sz w:val="22"/>
                <w:szCs w:val="22"/>
                <w:lang w:eastAsia="en-GB"/>
              </w:rPr>
            </w:pPr>
            <w:r>
              <w:rPr>
                <w:sz w:val="22"/>
                <w:szCs w:val="22"/>
                <w:lang w:eastAsia="en-GB"/>
              </w:rPr>
              <w:t>Date</w:t>
            </w:r>
          </w:p>
        </w:tc>
        <w:tc>
          <w:tcPr>
            <w:tcW w:w="2436" w:type="dxa"/>
            <w:tcBorders>
              <w:bottom w:val="single" w:sz="4" w:space="0" w:color="auto"/>
            </w:tcBorders>
          </w:tcPr>
          <w:p w:rsidR="00F16FD1" w:rsidRDefault="00AA7BFE">
            <w:pPr>
              <w:rPr>
                <w:sz w:val="22"/>
                <w:szCs w:val="22"/>
                <w:lang w:eastAsia="en-GB"/>
              </w:rPr>
            </w:pPr>
            <w:r>
              <w:rPr>
                <w:sz w:val="22"/>
                <w:szCs w:val="22"/>
                <w:lang w:eastAsia="en-GB"/>
              </w:rPr>
              <w:t>10/04/17</w:t>
            </w:r>
          </w:p>
        </w:tc>
      </w:tr>
      <w:tr w:rsidR="00F16FD1">
        <w:trPr>
          <w:trHeight w:val="419"/>
        </w:trPr>
        <w:tc>
          <w:tcPr>
            <w:tcW w:w="1242" w:type="dxa"/>
            <w:vAlign w:val="center"/>
          </w:tcPr>
          <w:p w:rsidR="00F16FD1" w:rsidRDefault="00F16FD1">
            <w:pPr>
              <w:jc w:val="right"/>
              <w:rPr>
                <w:sz w:val="22"/>
                <w:szCs w:val="22"/>
                <w:lang w:eastAsia="en-GB"/>
              </w:rPr>
            </w:pPr>
          </w:p>
        </w:tc>
        <w:tc>
          <w:tcPr>
            <w:tcW w:w="4820" w:type="dxa"/>
            <w:tcBorders>
              <w:top w:val="single" w:sz="4" w:space="0" w:color="auto"/>
            </w:tcBorders>
            <w:vAlign w:val="center"/>
          </w:tcPr>
          <w:p w:rsidR="00F16FD1" w:rsidRDefault="00F16FD1">
            <w:pPr>
              <w:rPr>
                <w:b/>
                <w:sz w:val="22"/>
                <w:szCs w:val="22"/>
                <w:lang w:eastAsia="en-GB"/>
              </w:rPr>
            </w:pPr>
            <w:r>
              <w:rPr>
                <w:b/>
                <w:sz w:val="22"/>
                <w:szCs w:val="22"/>
                <w:lang w:eastAsia="en-GB"/>
              </w:rPr>
              <w:t>Planning Officer</w:t>
            </w:r>
          </w:p>
        </w:tc>
        <w:tc>
          <w:tcPr>
            <w:tcW w:w="1246" w:type="dxa"/>
            <w:vAlign w:val="center"/>
          </w:tcPr>
          <w:p w:rsidR="00F16FD1" w:rsidRDefault="00F16FD1">
            <w:pPr>
              <w:jc w:val="right"/>
              <w:rPr>
                <w:sz w:val="22"/>
                <w:szCs w:val="22"/>
                <w:lang w:eastAsia="en-GB"/>
              </w:rPr>
            </w:pPr>
          </w:p>
        </w:tc>
        <w:tc>
          <w:tcPr>
            <w:tcW w:w="2436" w:type="dxa"/>
            <w:tcBorders>
              <w:top w:val="single" w:sz="4" w:space="0" w:color="auto"/>
            </w:tcBorders>
          </w:tcPr>
          <w:p w:rsidR="00F16FD1" w:rsidRDefault="00F16FD1">
            <w:pPr>
              <w:rPr>
                <w:sz w:val="22"/>
                <w:szCs w:val="22"/>
                <w:lang w:eastAsia="en-GB"/>
              </w:rPr>
            </w:pPr>
          </w:p>
        </w:tc>
      </w:tr>
      <w:tr w:rsidR="00F16FD1">
        <w:trPr>
          <w:trHeight w:val="411"/>
        </w:trPr>
        <w:tc>
          <w:tcPr>
            <w:tcW w:w="1242" w:type="dxa"/>
            <w:vAlign w:val="center"/>
          </w:tcPr>
          <w:p w:rsidR="00F16FD1" w:rsidRDefault="00F16FD1">
            <w:pPr>
              <w:jc w:val="right"/>
              <w:rPr>
                <w:sz w:val="22"/>
                <w:szCs w:val="22"/>
                <w:lang w:eastAsia="en-GB"/>
              </w:rPr>
            </w:pPr>
            <w:r>
              <w:rPr>
                <w:sz w:val="22"/>
                <w:szCs w:val="22"/>
                <w:lang w:eastAsia="en-GB"/>
              </w:rPr>
              <w:t>Signed</w:t>
            </w:r>
          </w:p>
        </w:tc>
        <w:tc>
          <w:tcPr>
            <w:tcW w:w="4820" w:type="dxa"/>
            <w:tcBorders>
              <w:bottom w:val="single" w:sz="4" w:space="0" w:color="auto"/>
            </w:tcBorders>
          </w:tcPr>
          <w:p w:rsidR="00F16FD1" w:rsidRDefault="001674E1">
            <w:pPr>
              <w:rPr>
                <w:sz w:val="22"/>
                <w:szCs w:val="22"/>
                <w:lang w:eastAsia="en-GB"/>
              </w:rPr>
            </w:pPr>
            <w:r>
              <w:rPr>
                <w:sz w:val="22"/>
                <w:szCs w:val="22"/>
                <w:lang w:eastAsia="en-GB"/>
              </w:rPr>
              <w:t>Bob Cook</w:t>
            </w:r>
          </w:p>
        </w:tc>
        <w:tc>
          <w:tcPr>
            <w:tcW w:w="1246" w:type="dxa"/>
            <w:vAlign w:val="center"/>
          </w:tcPr>
          <w:p w:rsidR="00F16FD1" w:rsidRDefault="00F16FD1">
            <w:pPr>
              <w:jc w:val="right"/>
              <w:rPr>
                <w:sz w:val="22"/>
                <w:szCs w:val="22"/>
                <w:lang w:eastAsia="en-GB"/>
              </w:rPr>
            </w:pPr>
            <w:r>
              <w:rPr>
                <w:sz w:val="22"/>
                <w:szCs w:val="22"/>
                <w:lang w:eastAsia="en-GB"/>
              </w:rPr>
              <w:t>Date</w:t>
            </w:r>
          </w:p>
        </w:tc>
        <w:tc>
          <w:tcPr>
            <w:tcW w:w="2436" w:type="dxa"/>
            <w:tcBorders>
              <w:bottom w:val="single" w:sz="4" w:space="0" w:color="auto"/>
            </w:tcBorders>
          </w:tcPr>
          <w:p w:rsidR="00F16FD1" w:rsidRDefault="001674E1">
            <w:pPr>
              <w:rPr>
                <w:sz w:val="22"/>
                <w:szCs w:val="22"/>
                <w:lang w:eastAsia="en-GB"/>
              </w:rPr>
            </w:pPr>
            <w:r>
              <w:rPr>
                <w:sz w:val="22"/>
                <w:szCs w:val="22"/>
                <w:lang w:eastAsia="en-GB"/>
              </w:rPr>
              <w:t>13/04/17</w:t>
            </w:r>
          </w:p>
        </w:tc>
      </w:tr>
      <w:tr w:rsidR="00F16FD1">
        <w:trPr>
          <w:trHeight w:val="417"/>
        </w:trPr>
        <w:tc>
          <w:tcPr>
            <w:tcW w:w="1242" w:type="dxa"/>
          </w:tcPr>
          <w:p w:rsidR="00F16FD1" w:rsidRDefault="00F16FD1">
            <w:pPr>
              <w:rPr>
                <w:sz w:val="22"/>
                <w:szCs w:val="22"/>
                <w:lang w:eastAsia="en-GB"/>
              </w:rPr>
            </w:pPr>
          </w:p>
        </w:tc>
        <w:tc>
          <w:tcPr>
            <w:tcW w:w="4820" w:type="dxa"/>
            <w:tcBorders>
              <w:top w:val="single" w:sz="4" w:space="0" w:color="auto"/>
            </w:tcBorders>
            <w:vAlign w:val="center"/>
          </w:tcPr>
          <w:p w:rsidR="00F16FD1" w:rsidRDefault="00F16FD1">
            <w:pPr>
              <w:rPr>
                <w:b/>
                <w:sz w:val="22"/>
                <w:szCs w:val="22"/>
                <w:lang w:eastAsia="en-GB"/>
              </w:rPr>
            </w:pPr>
            <w:r>
              <w:rPr>
                <w:b/>
                <w:sz w:val="22"/>
                <w:szCs w:val="22"/>
                <w:lang w:eastAsia="en-GB"/>
              </w:rPr>
              <w:t>DM Manager</w:t>
            </w:r>
          </w:p>
        </w:tc>
        <w:tc>
          <w:tcPr>
            <w:tcW w:w="1246" w:type="dxa"/>
          </w:tcPr>
          <w:p w:rsidR="00F16FD1" w:rsidRDefault="00F16FD1">
            <w:pPr>
              <w:rPr>
                <w:sz w:val="22"/>
                <w:szCs w:val="22"/>
                <w:lang w:eastAsia="en-GB"/>
              </w:rPr>
            </w:pPr>
          </w:p>
        </w:tc>
        <w:tc>
          <w:tcPr>
            <w:tcW w:w="2436" w:type="dxa"/>
            <w:tcBorders>
              <w:top w:val="single" w:sz="4" w:space="0" w:color="auto"/>
            </w:tcBorders>
          </w:tcPr>
          <w:p w:rsidR="00F16FD1" w:rsidRDefault="00F16FD1">
            <w:pPr>
              <w:rPr>
                <w:sz w:val="22"/>
                <w:szCs w:val="22"/>
                <w:lang w:eastAsia="en-GB"/>
              </w:rPr>
            </w:pPr>
          </w:p>
        </w:tc>
      </w:tr>
    </w:tbl>
    <w:p w:rsidR="00F16FD1" w:rsidRDefault="00F16FD1">
      <w:pPr>
        <w:rPr>
          <w:sz w:val="22"/>
          <w:szCs w:val="22"/>
          <w:lang w:eastAsia="en-GB"/>
        </w:rPr>
      </w:pPr>
      <w:r>
        <w:rPr>
          <w:sz w:val="22"/>
          <w:szCs w:val="22"/>
          <w:lang w:eastAsia="en-GB"/>
        </w:rPr>
        <w:tab/>
      </w:r>
    </w:p>
    <w:sectPr w:rsidR="00F16FD1">
      <w:headerReference w:type="default" r:id="rId8"/>
      <w:footerReference w:type="default" r:id="rId9"/>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E3" w:rsidRDefault="00FF58E3">
      <w:r>
        <w:separator/>
      </w:r>
    </w:p>
  </w:endnote>
  <w:endnote w:type="continuationSeparator" w:id="0">
    <w:p w:rsidR="00FF58E3" w:rsidRDefault="00FF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D1" w:rsidRDefault="00F16FD1">
    <w:pPr>
      <w:pStyle w:val="Footer"/>
      <w:tabs>
        <w:tab w:val="clear" w:pos="4153"/>
        <w:tab w:val="clear" w:pos="8306"/>
      </w:tabs>
      <w:spacing w:after="40"/>
      <w:rPr>
        <w:b/>
        <w:sz w:val="19"/>
        <w:szCs w:val="18"/>
      </w:rPr>
    </w:pPr>
    <w:r>
      <w:rPr>
        <w:b/>
        <w:sz w:val="19"/>
        <w:szCs w:val="18"/>
      </w:rPr>
      <w:t>LOCH LOMOND &amp; THE TROSSACHS NATIONAL PARK AUTHORITY</w:t>
    </w:r>
  </w:p>
  <w:p w:rsidR="00F16FD1" w:rsidRDefault="00F16FD1">
    <w:pPr>
      <w:pStyle w:val="Footer"/>
      <w:tabs>
        <w:tab w:val="clear" w:pos="4153"/>
        <w:tab w:val="clear" w:pos="8306"/>
      </w:tabs>
      <w:spacing w:after="40"/>
      <w:rPr>
        <w:sz w:val="18"/>
        <w:szCs w:val="18"/>
      </w:rPr>
    </w:pPr>
    <w:r>
      <w:rPr>
        <w:sz w:val="18"/>
        <w:szCs w:val="18"/>
      </w:rPr>
      <w:t xml:space="preserve">National Park Headquarters, </w:t>
    </w:r>
    <w:proofErr w:type="spellStart"/>
    <w:r>
      <w:rPr>
        <w:sz w:val="18"/>
        <w:szCs w:val="18"/>
      </w:rPr>
      <w:t>Carrochan</w:t>
    </w:r>
    <w:proofErr w:type="spellEnd"/>
    <w:r>
      <w:rPr>
        <w:sz w:val="18"/>
        <w:szCs w:val="18"/>
      </w:rPr>
      <w:t xml:space="preserve">, </w:t>
    </w:r>
    <w:proofErr w:type="spellStart"/>
    <w:r>
      <w:rPr>
        <w:sz w:val="18"/>
        <w:szCs w:val="18"/>
      </w:rPr>
      <w:t>Carrochan</w:t>
    </w:r>
    <w:proofErr w:type="spellEnd"/>
    <w:r>
      <w:rPr>
        <w:sz w:val="18"/>
        <w:szCs w:val="18"/>
      </w:rPr>
      <w:t xml:space="preserve"> Road, </w:t>
    </w:r>
    <w:proofErr w:type="spellStart"/>
    <w:r>
      <w:rPr>
        <w:sz w:val="18"/>
        <w:szCs w:val="18"/>
      </w:rPr>
      <w:t>Balloch</w:t>
    </w:r>
    <w:proofErr w:type="spellEnd"/>
    <w:r>
      <w:rPr>
        <w:sz w:val="18"/>
        <w:szCs w:val="18"/>
      </w:rPr>
      <w:t>, G83 8EG Long: 4˚34’</w:t>
    </w:r>
    <w:proofErr w:type="gramStart"/>
    <w:r>
      <w:rPr>
        <w:sz w:val="18"/>
        <w:szCs w:val="18"/>
      </w:rPr>
      <w:t>24”W</w:t>
    </w:r>
    <w:proofErr w:type="gramEnd"/>
    <w:r>
      <w:rPr>
        <w:sz w:val="18"/>
        <w:szCs w:val="18"/>
      </w:rPr>
      <w:t xml:space="preserve">  Lat: 56˚00’12”N</w:t>
    </w:r>
  </w:p>
  <w:p w:rsidR="00F16FD1" w:rsidRDefault="00F16FD1">
    <w:pPr>
      <w:pStyle w:val="Footer"/>
      <w:tabs>
        <w:tab w:val="clear" w:pos="4153"/>
        <w:tab w:val="clear" w:pos="8306"/>
      </w:tabs>
      <w:spacing w:after="40"/>
      <w:rPr>
        <w:sz w:val="18"/>
        <w:szCs w:val="18"/>
        <w:lang w:val="de-DE"/>
      </w:rPr>
    </w:pPr>
    <w:r>
      <w:rPr>
        <w:sz w:val="18"/>
        <w:szCs w:val="18"/>
        <w:lang w:val="de-DE"/>
      </w:rPr>
      <w:t xml:space="preserve">t: 01389 722600 f: 01389 722633 e: </w:t>
    </w:r>
    <w:r>
      <w:rPr>
        <w:rFonts w:cs="Times New Roman"/>
        <w:sz w:val="18"/>
        <w:szCs w:val="18"/>
        <w:lang w:val="de-DE"/>
      </w:rPr>
      <w:t>info@lochlomond-trossachs.org</w:t>
    </w:r>
    <w:r>
      <w:rPr>
        <w:sz w:val="18"/>
        <w:szCs w:val="18"/>
        <w:lang w:val="de-DE"/>
      </w:rPr>
      <w:t xml:space="preserve"> w: </w:t>
    </w:r>
    <w:hyperlink r:id="rId1" w:history="1">
      <w:r>
        <w:rPr>
          <w:rStyle w:val="Hyperlink"/>
          <w:color w:val="auto"/>
          <w:sz w:val="18"/>
          <w:szCs w:val="18"/>
          <w:u w:val="none"/>
          <w:lang w:val="de-DE"/>
        </w:rPr>
        <w:t>lochlomond-trossachs.org</w:t>
      </w:r>
    </w:hyperlink>
  </w:p>
  <w:p w:rsidR="00F16FD1" w:rsidRDefault="00F16FD1">
    <w:pPr>
      <w:pStyle w:val="Footer"/>
      <w:tabs>
        <w:tab w:val="clear" w:pos="4153"/>
        <w:tab w:val="clear" w:pos="8306"/>
      </w:tabs>
      <w:spacing w:after="40"/>
      <w:rPr>
        <w:color w:val="455560"/>
        <w:sz w:val="18"/>
        <w:szCs w:val="18"/>
      </w:rPr>
    </w:pPr>
    <w:r>
      <w:rPr>
        <w:sz w:val="18"/>
        <w:szCs w:val="18"/>
      </w:rPr>
      <w:t xml:space="preserve">Printed on paper sourced from certified sustainable forests </w:t>
    </w:r>
    <w:r>
      <w:rPr>
        <w:sz w:val="18"/>
        <w:szCs w:val="18"/>
      </w:rPr>
      <w:tab/>
    </w:r>
    <w:r>
      <w:rPr>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AD0705">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D0705">
      <w:rPr>
        <w:noProof/>
        <w:sz w:val="18"/>
        <w:szCs w:val="18"/>
      </w:rPr>
      <w:t>3</w:t>
    </w:r>
    <w:r>
      <w:rPr>
        <w:sz w:val="18"/>
        <w:szCs w:val="18"/>
      </w:rPr>
      <w:fldChar w:fldCharType="end"/>
    </w:r>
    <w:r>
      <w:rPr>
        <w:color w:val="455560"/>
        <w:sz w:val="18"/>
        <w:szCs w:val="18"/>
      </w:rPr>
      <w:tab/>
      <w:t xml:space="preserve">                                                   </w:t>
    </w:r>
    <w:r>
      <w:rPr>
        <w:color w:val="455560"/>
        <w:sz w:val="18"/>
        <w:szCs w:val="18"/>
      </w:rPr>
      <w:tab/>
    </w:r>
    <w:r>
      <w:rPr>
        <w:color w:val="455560"/>
        <w:sz w:val="18"/>
        <w:szCs w:val="18"/>
      </w:rPr>
      <w:tab/>
    </w:r>
    <w:r>
      <w:rPr>
        <w:color w:val="3F7998"/>
        <w:sz w:val="18"/>
        <w:szCs w:val="18"/>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E3" w:rsidRDefault="00FF58E3">
      <w:r>
        <w:separator/>
      </w:r>
    </w:p>
  </w:footnote>
  <w:footnote w:type="continuationSeparator" w:id="0">
    <w:p w:rsidR="00FF58E3" w:rsidRDefault="00FF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D1" w:rsidRDefault="00F16FD1" w:rsidP="00F16FD1">
    <w:pPr>
      <w:pStyle w:val="Header"/>
      <w:widowControl/>
    </w:pPr>
    <w:r>
      <w:ptab w:relativeTo="margin" w:alignment="left" w:leader="none"/>
    </w:r>
    <w:r>
      <w:rPr>
        <w:sz w:val="12"/>
        <w:szCs w:val="12"/>
      </w:rPr>
      <w:t>SCRO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4E8"/>
    <w:multiLevelType w:val="hybridMultilevel"/>
    <w:tmpl w:val="754A1262"/>
    <w:lvl w:ilvl="0" w:tplc="8604AD9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E4652"/>
    <w:multiLevelType w:val="hybridMultilevel"/>
    <w:tmpl w:val="09B842F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D7866CF"/>
    <w:multiLevelType w:val="hybridMultilevel"/>
    <w:tmpl w:val="07BE5C6A"/>
    <w:lvl w:ilvl="0" w:tplc="564AC36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EA9174F"/>
    <w:multiLevelType w:val="hybridMultilevel"/>
    <w:tmpl w:val="E6F4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B7F49"/>
    <w:multiLevelType w:val="hybridMultilevel"/>
    <w:tmpl w:val="C70A43A2"/>
    <w:lvl w:ilvl="0" w:tplc="F27C36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6D346F5"/>
    <w:multiLevelType w:val="hybridMultilevel"/>
    <w:tmpl w:val="C00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E3"/>
    <w:rsid w:val="001674E1"/>
    <w:rsid w:val="001C24C3"/>
    <w:rsid w:val="00422AEC"/>
    <w:rsid w:val="004B5E5A"/>
    <w:rsid w:val="005629A2"/>
    <w:rsid w:val="005722A7"/>
    <w:rsid w:val="007F344D"/>
    <w:rsid w:val="008651D1"/>
    <w:rsid w:val="008B6BFF"/>
    <w:rsid w:val="00AA7BFE"/>
    <w:rsid w:val="00AD0705"/>
    <w:rsid w:val="00B43A54"/>
    <w:rsid w:val="00CC4FE3"/>
    <w:rsid w:val="00D21234"/>
    <w:rsid w:val="00D41C75"/>
    <w:rsid w:val="00D62FCE"/>
    <w:rsid w:val="00DA3304"/>
    <w:rsid w:val="00ED0BDE"/>
    <w:rsid w:val="00F16FD1"/>
    <w:rsid w:val="00F3507C"/>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0F35C2-B27B-43DE-95EF-2454FF05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Arial" w:hAnsi="Arial" w:cs="Arial"/>
      <w:b/>
      <w:bCs/>
      <w:iCs/>
      <w:sz w:val="28"/>
      <w:szCs w:val="28"/>
      <w:lang w:val="en-GB" w:eastAsia="en-US"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pPr>
      <w:ind w:left="283" w:hanging="283"/>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Pr>
      <w:rFonts w:cs="Times New Roman"/>
      <w:color w:val="0000FF"/>
      <w:u w:val="single"/>
    </w:rPr>
  </w:style>
  <w:style w:type="paragraph" w:customStyle="1" w:styleId="StyleHeading211ptNotItalic">
    <w:name w:val="Style Heading 2 + 11 pt Not Italic"/>
    <w:basedOn w:val="Heading2"/>
    <w:link w:val="StyleHeading211ptNotItalicChar"/>
    <w:uiPriority w:val="99"/>
    <w:rPr>
      <w:i/>
      <w:iCs w:val="0"/>
    </w:rPr>
  </w:style>
  <w:style w:type="character" w:customStyle="1" w:styleId="StyleHeading211ptNotItalicChar">
    <w:name w:val="Style Heading 2 + 11 pt Not Italic Char"/>
    <w:basedOn w:val="Heading2Char"/>
    <w:link w:val="StyleHeading211ptNotItalic"/>
    <w:uiPriority w:val="99"/>
    <w:locke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Pr>
      <w:i/>
      <w:iCs w:val="0"/>
    </w:rPr>
  </w:style>
  <w:style w:type="character" w:customStyle="1" w:styleId="StyleHeading211ptNotItalic1Char">
    <w:name w:val="Style Heading 2 + 11 pt Not Italic1 Char"/>
    <w:basedOn w:val="Heading2Char"/>
    <w:link w:val="StyleHeading211ptNotItalic1"/>
    <w:uiPriority w:val="99"/>
    <w:locked/>
    <w:rPr>
      <w:rFonts w:ascii="Arial" w:hAnsi="Arial" w:cs="Arial"/>
      <w:b/>
      <w:bCs/>
      <w:iCs/>
      <w:sz w:val="28"/>
      <w:szCs w:val="28"/>
      <w:lang w:val="en-GB" w:eastAsia="en-US" w:bidi="ar-SA"/>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Pr>
      <w:rFonts w:cs="Times New Roman"/>
      <w:b/>
      <w:bCs/>
    </w:rPr>
  </w:style>
  <w:style w:type="paragraph" w:styleId="BalloonText">
    <w:name w:val="Balloon Text"/>
    <w:basedOn w:val="Normal"/>
    <w:link w:val="BalloonTextChar"/>
    <w:uiPriority w:val="99"/>
    <w:semiHidden/>
    <w:unhideWhenUsed/>
    <w:rsid w:val="00AA7BFE"/>
    <w:rPr>
      <w:rFonts w:ascii="Tahoma" w:hAnsi="Tahoma" w:cs="Tahoma"/>
      <w:sz w:val="16"/>
      <w:szCs w:val="16"/>
    </w:rPr>
  </w:style>
  <w:style w:type="character" w:customStyle="1" w:styleId="BalloonTextChar">
    <w:name w:val="Balloon Text Char"/>
    <w:basedOn w:val="DefaultParagraphFont"/>
    <w:link w:val="BalloonText"/>
    <w:uiPriority w:val="99"/>
    <w:semiHidden/>
    <w:rsid w:val="00AA7B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0521">
      <w:marLeft w:val="0"/>
      <w:marRight w:val="0"/>
      <w:marTop w:val="0"/>
      <w:marBottom w:val="0"/>
      <w:divBdr>
        <w:top w:val="none" w:sz="0" w:space="0" w:color="auto"/>
        <w:left w:val="none" w:sz="0" w:space="0" w:color="auto"/>
        <w:bottom w:val="none" w:sz="0" w:space="0" w:color="auto"/>
        <w:right w:val="none" w:sz="0" w:space="0" w:color="auto"/>
      </w:divBdr>
    </w:div>
    <w:div w:id="105120522">
      <w:marLeft w:val="0"/>
      <w:marRight w:val="0"/>
      <w:marTop w:val="0"/>
      <w:marBottom w:val="0"/>
      <w:divBdr>
        <w:top w:val="none" w:sz="0" w:space="0" w:color="auto"/>
        <w:left w:val="none" w:sz="0" w:space="0" w:color="auto"/>
        <w:bottom w:val="none" w:sz="0" w:space="0" w:color="auto"/>
        <w:right w:val="none" w:sz="0" w:space="0" w:color="auto"/>
      </w:divBdr>
    </w:div>
    <w:div w:id="105120523">
      <w:marLeft w:val="0"/>
      <w:marRight w:val="0"/>
      <w:marTop w:val="0"/>
      <w:marBottom w:val="0"/>
      <w:divBdr>
        <w:top w:val="none" w:sz="0" w:space="0" w:color="auto"/>
        <w:left w:val="none" w:sz="0" w:space="0" w:color="auto"/>
        <w:bottom w:val="none" w:sz="0" w:space="0" w:color="auto"/>
        <w:right w:val="none" w:sz="0" w:space="0" w:color="auto"/>
      </w:divBdr>
    </w:div>
    <w:div w:id="105120524">
      <w:marLeft w:val="0"/>
      <w:marRight w:val="0"/>
      <w:marTop w:val="0"/>
      <w:marBottom w:val="0"/>
      <w:divBdr>
        <w:top w:val="none" w:sz="0" w:space="0" w:color="auto"/>
        <w:left w:val="none" w:sz="0" w:space="0" w:color="auto"/>
        <w:bottom w:val="none" w:sz="0" w:space="0" w:color="auto"/>
        <w:right w:val="none" w:sz="0" w:space="0" w:color="auto"/>
      </w:divBdr>
    </w:div>
    <w:div w:id="105120525">
      <w:marLeft w:val="0"/>
      <w:marRight w:val="0"/>
      <w:marTop w:val="0"/>
      <w:marBottom w:val="0"/>
      <w:divBdr>
        <w:top w:val="none" w:sz="0" w:space="0" w:color="auto"/>
        <w:left w:val="none" w:sz="0" w:space="0" w:color="auto"/>
        <w:bottom w:val="none" w:sz="0" w:space="0" w:color="auto"/>
        <w:right w:val="none" w:sz="0" w:space="0" w:color="auto"/>
      </w:divBdr>
    </w:div>
    <w:div w:id="105120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creator>Environmental Services</dc:creator>
  <cp:lastModifiedBy>Nick Kempe</cp:lastModifiedBy>
  <cp:revision>2</cp:revision>
  <cp:lastPrinted>2017-04-10T14:35:00Z</cp:lastPrinted>
  <dcterms:created xsi:type="dcterms:W3CDTF">2017-04-24T07:38:00Z</dcterms:created>
  <dcterms:modified xsi:type="dcterms:W3CDTF">2017-04-24T07:38:00Z</dcterms:modified>
</cp:coreProperties>
</file>