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5D" w:rsidRPr="000E4326" w:rsidRDefault="000E4326">
      <w:pPr>
        <w:rPr>
          <w:rFonts w:ascii="Arial" w:hAnsi="Arial" w:cs="Arial"/>
          <w:b/>
        </w:rPr>
      </w:pPr>
      <w:bookmarkStart w:id="0" w:name="_GoBack"/>
      <w:bookmarkEnd w:id="0"/>
      <w:r w:rsidRPr="000E4326">
        <w:rPr>
          <w:rFonts w:ascii="Arial" w:hAnsi="Arial" w:cs="Arial"/>
          <w:b/>
        </w:rPr>
        <w:t>PROPOSED LOCH LOMOND AND THE TROSSACHS LOCAL DEVELOPMENT PLAN</w:t>
      </w:r>
    </w:p>
    <w:p w:rsidR="000E4326" w:rsidRPr="000E4326" w:rsidRDefault="000E4326">
      <w:pPr>
        <w:rPr>
          <w:rFonts w:ascii="Arial" w:hAnsi="Arial" w:cs="Arial"/>
          <w:b/>
        </w:rPr>
      </w:pPr>
      <w:r w:rsidRPr="000E4326">
        <w:rPr>
          <w:rFonts w:ascii="Arial" w:hAnsi="Arial" w:cs="Arial"/>
          <w:b/>
        </w:rPr>
        <w:t>THE TOWN AND COUNTRY PLANNING (DEVELOPMENT PLANNING) (SCOTLAND) REGULATIONS 2008</w:t>
      </w:r>
    </w:p>
    <w:p w:rsidR="000E4326" w:rsidRDefault="000E4326" w:rsidP="000E4326">
      <w:pPr>
        <w:pBdr>
          <w:bottom w:val="single" w:sz="4" w:space="1" w:color="auto"/>
        </w:pBdr>
        <w:rPr>
          <w:rFonts w:ascii="Arial" w:hAnsi="Arial" w:cs="Arial"/>
          <w:b/>
        </w:rPr>
      </w:pPr>
      <w:r>
        <w:rPr>
          <w:rFonts w:ascii="Arial" w:hAnsi="Arial" w:cs="Arial"/>
          <w:b/>
        </w:rPr>
        <w:t xml:space="preserve">RESPONSE TO </w:t>
      </w:r>
      <w:r w:rsidRPr="000E4326">
        <w:rPr>
          <w:rFonts w:ascii="Arial" w:hAnsi="Arial" w:cs="Arial"/>
          <w:b/>
        </w:rPr>
        <w:t xml:space="preserve">FURTHER INFORMATION REQUEST </w:t>
      </w:r>
      <w:r w:rsidR="00306E12" w:rsidRPr="000E4326">
        <w:rPr>
          <w:rFonts w:ascii="Arial" w:hAnsi="Arial" w:cs="Arial"/>
          <w:b/>
        </w:rPr>
        <w:t>0</w:t>
      </w:r>
      <w:r w:rsidR="00306E12">
        <w:rPr>
          <w:rFonts w:ascii="Arial" w:hAnsi="Arial" w:cs="Arial"/>
          <w:b/>
        </w:rPr>
        <w:t>2</w:t>
      </w:r>
      <w:r>
        <w:rPr>
          <w:rFonts w:ascii="Arial" w:hAnsi="Arial" w:cs="Arial"/>
          <w:b/>
        </w:rPr>
        <w:t xml:space="preserve">: </w:t>
      </w:r>
    </w:p>
    <w:p w:rsidR="00C637C4" w:rsidRPr="00761ED2" w:rsidRDefault="00306E12" w:rsidP="00761ED2">
      <w:pPr>
        <w:pBdr>
          <w:bottom w:val="single" w:sz="4" w:space="1" w:color="auto"/>
        </w:pBdr>
        <w:rPr>
          <w:rFonts w:ascii="Arial" w:hAnsi="Arial" w:cs="Arial"/>
          <w:b/>
        </w:rPr>
      </w:pPr>
      <w:r>
        <w:rPr>
          <w:rFonts w:ascii="Arial" w:hAnsi="Arial" w:cs="Arial"/>
          <w:b/>
        </w:rPr>
        <w:t>ISSUE 22</w:t>
      </w:r>
      <w:r w:rsidR="000E4326">
        <w:rPr>
          <w:rFonts w:ascii="Arial" w:hAnsi="Arial" w:cs="Arial"/>
          <w:b/>
        </w:rPr>
        <w:t xml:space="preserve"> </w:t>
      </w:r>
      <w:r>
        <w:rPr>
          <w:rFonts w:ascii="Arial" w:hAnsi="Arial" w:cs="Arial"/>
          <w:b/>
        </w:rPr>
        <w:t xml:space="preserve">VISITOR </w:t>
      </w:r>
      <w:r w:rsidR="00C045DD">
        <w:rPr>
          <w:rFonts w:ascii="Arial" w:hAnsi="Arial" w:cs="Arial"/>
          <w:b/>
        </w:rPr>
        <w:t xml:space="preserve">EXPERIENCE </w:t>
      </w:r>
    </w:p>
    <w:p w:rsidR="00761ED2" w:rsidRDefault="007D31A7" w:rsidP="0025591C">
      <w:pPr>
        <w:rPr>
          <w:rFonts w:ascii="Arial" w:hAnsi="Arial" w:cs="Arial"/>
          <w:b/>
        </w:rPr>
      </w:pPr>
      <w:r w:rsidRPr="00FF2FB1">
        <w:rPr>
          <w:rFonts w:ascii="Arial" w:hAnsi="Arial" w:cs="Arial"/>
          <w:b/>
        </w:rPr>
        <w:t xml:space="preserve">Information requested: (1) The park authority is requested to provide a clearer and more detailed explanation of the terminology used or intended in the proposed local development plan with regard to camping provision of different forms and to provide clarification concerning its related policy position if this varies between particular categories of camping provision. </w:t>
      </w:r>
    </w:p>
    <w:p w:rsidR="00741865" w:rsidRPr="00741865" w:rsidRDefault="00FF2FB1" w:rsidP="00741865">
      <w:pPr>
        <w:pStyle w:val="ListParagraph"/>
        <w:numPr>
          <w:ilvl w:val="1"/>
          <w:numId w:val="19"/>
        </w:numPr>
        <w:rPr>
          <w:rFonts w:ascii="Arial" w:hAnsi="Arial" w:cs="Arial"/>
        </w:rPr>
      </w:pPr>
      <w:r w:rsidRPr="00741865">
        <w:rPr>
          <w:rFonts w:ascii="Arial" w:hAnsi="Arial" w:cs="Arial"/>
        </w:rPr>
        <w:t xml:space="preserve">The </w:t>
      </w:r>
      <w:r w:rsidR="002044B8">
        <w:rPr>
          <w:rFonts w:ascii="Arial" w:hAnsi="Arial" w:cs="Arial"/>
        </w:rPr>
        <w:t xml:space="preserve">Proposed </w:t>
      </w:r>
      <w:r w:rsidRPr="00741865">
        <w:rPr>
          <w:rFonts w:ascii="Arial" w:hAnsi="Arial" w:cs="Arial"/>
        </w:rPr>
        <w:t>Local Development Plan (</w:t>
      </w:r>
      <w:r w:rsidR="002044B8">
        <w:rPr>
          <w:rFonts w:ascii="Arial" w:hAnsi="Arial" w:cs="Arial"/>
        </w:rPr>
        <w:t>P</w:t>
      </w:r>
      <w:r w:rsidRPr="00741865">
        <w:rPr>
          <w:rFonts w:ascii="Arial" w:hAnsi="Arial" w:cs="Arial"/>
        </w:rPr>
        <w:t xml:space="preserve">LDP) does not have an explicit policy in relation to camping, or indeed any other specific form of </w:t>
      </w:r>
      <w:r w:rsidR="00AF11EC">
        <w:rPr>
          <w:rFonts w:ascii="Arial" w:hAnsi="Arial" w:cs="Arial"/>
        </w:rPr>
        <w:t xml:space="preserve">visitor </w:t>
      </w:r>
      <w:r w:rsidRPr="00741865">
        <w:rPr>
          <w:rFonts w:ascii="Arial" w:hAnsi="Arial" w:cs="Arial"/>
        </w:rPr>
        <w:t xml:space="preserve">accommodation. </w:t>
      </w:r>
      <w:r w:rsidR="00CB077D" w:rsidRPr="00741865">
        <w:rPr>
          <w:rFonts w:ascii="Arial" w:hAnsi="Arial" w:cs="Arial"/>
        </w:rPr>
        <w:t>The Visitor Experience policies</w:t>
      </w:r>
      <w:r w:rsidR="003C380B" w:rsidRPr="00741865">
        <w:rPr>
          <w:rFonts w:ascii="Arial" w:hAnsi="Arial" w:cs="Arial"/>
        </w:rPr>
        <w:t xml:space="preserve"> relate to the location and scale of a</w:t>
      </w:r>
      <w:r w:rsidR="00CB077D" w:rsidRPr="00741865">
        <w:rPr>
          <w:rFonts w:ascii="Arial" w:hAnsi="Arial" w:cs="Arial"/>
        </w:rPr>
        <w:t xml:space="preserve">ll forms of tourism development </w:t>
      </w:r>
      <w:r w:rsidR="003C380B" w:rsidRPr="00741865">
        <w:rPr>
          <w:rFonts w:ascii="Arial" w:hAnsi="Arial" w:cs="Arial"/>
        </w:rPr>
        <w:t xml:space="preserve">i.e. hotels, self-catering accommodation </w:t>
      </w:r>
      <w:r w:rsidR="00CB077D" w:rsidRPr="00741865">
        <w:rPr>
          <w:rFonts w:ascii="Arial" w:hAnsi="Arial" w:cs="Arial"/>
        </w:rPr>
        <w:t>and all forms of camping provision</w:t>
      </w:r>
      <w:r w:rsidR="003C380B" w:rsidRPr="00741865">
        <w:rPr>
          <w:rFonts w:ascii="Arial" w:hAnsi="Arial" w:cs="Arial"/>
        </w:rPr>
        <w:t xml:space="preserve"> and does not distinguish between them</w:t>
      </w:r>
      <w:r w:rsidR="00CB077D" w:rsidRPr="00741865">
        <w:rPr>
          <w:rFonts w:ascii="Arial" w:hAnsi="Arial" w:cs="Arial"/>
        </w:rPr>
        <w:t>.</w:t>
      </w:r>
      <w:r w:rsidR="00444825" w:rsidRPr="00741865">
        <w:rPr>
          <w:rFonts w:ascii="Arial" w:hAnsi="Arial"/>
        </w:rPr>
        <w:t xml:space="preserve"> </w:t>
      </w:r>
      <w:r w:rsidR="00741865" w:rsidRPr="00741865">
        <w:rPr>
          <w:rFonts w:ascii="Arial" w:hAnsi="Arial"/>
        </w:rPr>
        <w:t xml:space="preserve">The Visitor Experience policies continue the approach of the Adopted Local Plan </w:t>
      </w:r>
      <w:r w:rsidR="002044B8">
        <w:rPr>
          <w:rFonts w:ascii="Arial" w:hAnsi="Arial"/>
        </w:rPr>
        <w:t xml:space="preserve">in </w:t>
      </w:r>
      <w:r w:rsidR="00741865" w:rsidRPr="00741865">
        <w:rPr>
          <w:rFonts w:ascii="Arial" w:hAnsi="Arial"/>
        </w:rPr>
        <w:t xml:space="preserve">not specifying types of visitor accommodation, however our new draft </w:t>
      </w:r>
      <w:r w:rsidR="00741865" w:rsidRPr="00741865">
        <w:rPr>
          <w:rFonts w:ascii="Arial" w:hAnsi="Arial" w:cs="Arial"/>
        </w:rPr>
        <w:t>Visitor Experience Plan</w:t>
      </w:r>
      <w:r w:rsidR="0087410E">
        <w:rPr>
          <w:rFonts w:ascii="Arial" w:hAnsi="Arial" w:cs="Arial"/>
        </w:rPr>
        <w:t>ning Guidance intends to compli</w:t>
      </w:r>
      <w:r w:rsidR="00741865" w:rsidRPr="00741865">
        <w:rPr>
          <w:rFonts w:ascii="Arial" w:hAnsi="Arial" w:cs="Arial"/>
        </w:rPr>
        <w:t>m</w:t>
      </w:r>
      <w:r w:rsidR="00AF11EC">
        <w:rPr>
          <w:rFonts w:ascii="Arial" w:hAnsi="Arial" w:cs="Arial"/>
        </w:rPr>
        <w:t>en</w:t>
      </w:r>
      <w:r w:rsidR="00741865" w:rsidRPr="00741865">
        <w:rPr>
          <w:rFonts w:ascii="Arial" w:hAnsi="Arial" w:cs="Arial"/>
        </w:rPr>
        <w:t xml:space="preserve">t the policy and strategy and provide more detail.  </w:t>
      </w:r>
      <w:r w:rsidR="00AF11EC">
        <w:rPr>
          <w:rFonts w:ascii="Arial" w:hAnsi="Arial" w:cs="Arial"/>
        </w:rPr>
        <w:t>This responds to the first part of the request.</w:t>
      </w:r>
    </w:p>
    <w:p w:rsidR="00FF2FB1" w:rsidRDefault="00FF2FB1" w:rsidP="00FF2FB1">
      <w:pPr>
        <w:pStyle w:val="ListParagraph"/>
        <w:ind w:left="435"/>
        <w:rPr>
          <w:rFonts w:ascii="Arial" w:hAnsi="Arial" w:cs="Arial"/>
        </w:rPr>
      </w:pPr>
    </w:p>
    <w:p w:rsidR="00AF11EC" w:rsidRPr="0087410E" w:rsidRDefault="00335B03" w:rsidP="0087410E">
      <w:pPr>
        <w:pStyle w:val="ListParagraph"/>
        <w:numPr>
          <w:ilvl w:val="1"/>
          <w:numId w:val="19"/>
        </w:numPr>
        <w:rPr>
          <w:rFonts w:ascii="Arial" w:hAnsi="Arial" w:cs="Arial"/>
        </w:rPr>
      </w:pPr>
      <w:r>
        <w:rPr>
          <w:rFonts w:ascii="Arial" w:hAnsi="Arial" w:cs="Arial"/>
        </w:rPr>
        <w:t xml:space="preserve">The </w:t>
      </w:r>
      <w:r w:rsidR="002044B8">
        <w:rPr>
          <w:rFonts w:ascii="Arial" w:hAnsi="Arial" w:cs="Arial"/>
        </w:rPr>
        <w:t>P</w:t>
      </w:r>
      <w:r>
        <w:rPr>
          <w:rFonts w:ascii="Arial" w:hAnsi="Arial" w:cs="Arial"/>
        </w:rPr>
        <w:t>LDP is concerned with the provision of polic</w:t>
      </w:r>
      <w:r w:rsidR="00444825">
        <w:rPr>
          <w:rFonts w:ascii="Arial" w:hAnsi="Arial" w:cs="Arial"/>
        </w:rPr>
        <w:t>ies</w:t>
      </w:r>
      <w:r>
        <w:rPr>
          <w:rFonts w:ascii="Arial" w:hAnsi="Arial" w:cs="Arial"/>
        </w:rPr>
        <w:t xml:space="preserve"> to </w:t>
      </w:r>
      <w:r w:rsidR="00444825">
        <w:rPr>
          <w:rFonts w:ascii="Arial" w:hAnsi="Arial" w:cs="Arial"/>
        </w:rPr>
        <w:t xml:space="preserve">support </w:t>
      </w:r>
      <w:r>
        <w:rPr>
          <w:rFonts w:ascii="Arial" w:hAnsi="Arial" w:cs="Arial"/>
        </w:rPr>
        <w:t>deliver</w:t>
      </w:r>
      <w:r w:rsidR="00444825">
        <w:rPr>
          <w:rFonts w:ascii="Arial" w:hAnsi="Arial" w:cs="Arial"/>
        </w:rPr>
        <w:t>y of a range of</w:t>
      </w:r>
      <w:r>
        <w:rPr>
          <w:rFonts w:ascii="Arial" w:hAnsi="Arial" w:cs="Arial"/>
        </w:rPr>
        <w:t xml:space="preserve"> high quality </w:t>
      </w:r>
      <w:r w:rsidR="0087410E">
        <w:rPr>
          <w:rFonts w:ascii="Arial" w:hAnsi="Arial" w:cs="Arial"/>
        </w:rPr>
        <w:t xml:space="preserve">visitor </w:t>
      </w:r>
      <w:r>
        <w:rPr>
          <w:rFonts w:ascii="Arial" w:hAnsi="Arial" w:cs="Arial"/>
        </w:rPr>
        <w:t xml:space="preserve">accommodation, facilities and infrastructure in suitable locations throughout the Park. </w:t>
      </w:r>
      <w:r w:rsidR="00AF11EC">
        <w:rPr>
          <w:rFonts w:ascii="Arial" w:hAnsi="Arial" w:cs="Arial"/>
        </w:rPr>
        <w:t>It is not intended that there is a diff</w:t>
      </w:r>
      <w:r w:rsidR="0087410E">
        <w:rPr>
          <w:rFonts w:ascii="Arial" w:hAnsi="Arial" w:cs="Arial"/>
        </w:rPr>
        <w:t>e</w:t>
      </w:r>
      <w:r w:rsidR="00AF11EC">
        <w:rPr>
          <w:rFonts w:ascii="Arial" w:hAnsi="Arial" w:cs="Arial"/>
        </w:rPr>
        <w:t>rent policy position on different types of accommodation</w:t>
      </w:r>
      <w:r w:rsidR="002044B8">
        <w:rPr>
          <w:rFonts w:ascii="Arial" w:hAnsi="Arial" w:cs="Arial"/>
        </w:rPr>
        <w:t xml:space="preserve"> </w:t>
      </w:r>
      <w:r w:rsidR="0087410E">
        <w:rPr>
          <w:rFonts w:ascii="Arial" w:hAnsi="Arial" w:cs="Arial"/>
        </w:rPr>
        <w:t>as</w:t>
      </w:r>
      <w:r w:rsidR="002044B8">
        <w:rPr>
          <w:rFonts w:ascii="Arial" w:hAnsi="Arial" w:cs="Arial"/>
        </w:rPr>
        <w:t xml:space="preserve"> </w:t>
      </w:r>
      <w:r w:rsidR="0087410E">
        <w:rPr>
          <w:rFonts w:ascii="Arial" w:hAnsi="Arial" w:cs="Arial"/>
        </w:rPr>
        <w:t xml:space="preserve">the policy, </w:t>
      </w:r>
      <w:r w:rsidR="002044B8">
        <w:rPr>
          <w:rFonts w:ascii="Arial" w:hAnsi="Arial" w:cs="Arial"/>
        </w:rPr>
        <w:t>in the Authorities view</w:t>
      </w:r>
      <w:r w:rsidR="0087410E">
        <w:rPr>
          <w:rFonts w:ascii="Arial" w:hAnsi="Arial" w:cs="Arial"/>
        </w:rPr>
        <w:t>,</w:t>
      </w:r>
      <w:r w:rsidR="002044B8">
        <w:rPr>
          <w:rFonts w:ascii="Arial" w:hAnsi="Arial" w:cs="Arial"/>
        </w:rPr>
        <w:t xml:space="preserve"> provide</w:t>
      </w:r>
      <w:r w:rsidR="0087410E">
        <w:rPr>
          <w:rFonts w:ascii="Arial" w:hAnsi="Arial" w:cs="Arial"/>
        </w:rPr>
        <w:t>s</w:t>
      </w:r>
      <w:r w:rsidR="002044B8">
        <w:rPr>
          <w:rFonts w:ascii="Arial" w:hAnsi="Arial" w:cs="Arial"/>
        </w:rPr>
        <w:t xml:space="preserve"> support for new camp sites</w:t>
      </w:r>
      <w:r w:rsidR="00AF11EC">
        <w:rPr>
          <w:rFonts w:ascii="Arial" w:hAnsi="Arial" w:cs="Arial"/>
        </w:rPr>
        <w:t xml:space="preserve">. </w:t>
      </w:r>
      <w:r>
        <w:rPr>
          <w:rFonts w:ascii="Arial" w:hAnsi="Arial" w:cs="Arial"/>
        </w:rPr>
        <w:t xml:space="preserve">The </w:t>
      </w:r>
      <w:r w:rsidR="004E02D8">
        <w:rPr>
          <w:rFonts w:ascii="Arial" w:hAnsi="Arial" w:cs="Arial"/>
        </w:rPr>
        <w:t xml:space="preserve">draft </w:t>
      </w:r>
      <w:r>
        <w:rPr>
          <w:rFonts w:ascii="Arial" w:hAnsi="Arial" w:cs="Arial"/>
        </w:rPr>
        <w:t>Visitor Experience Planning Guidance provides more detail on how the policies will be applied in practice and more detail on issues such as scale.</w:t>
      </w:r>
      <w:r w:rsidR="00FF2FB1" w:rsidRPr="00FF2FB1">
        <w:rPr>
          <w:rFonts w:ascii="Arial" w:hAnsi="Arial" w:cs="Arial"/>
        </w:rPr>
        <w:t xml:space="preserve"> </w:t>
      </w:r>
      <w:r w:rsidR="00AF11EC">
        <w:rPr>
          <w:rFonts w:ascii="Arial" w:hAnsi="Arial" w:cs="Arial"/>
        </w:rPr>
        <w:t>This addresses the second part of the request.</w:t>
      </w:r>
    </w:p>
    <w:p w:rsidR="00B17D13" w:rsidRPr="00E85130" w:rsidRDefault="00B17D13" w:rsidP="00E85130">
      <w:pPr>
        <w:rPr>
          <w:rFonts w:ascii="Arial" w:hAnsi="Arial" w:cs="Arial"/>
          <w:b/>
        </w:rPr>
      </w:pPr>
      <w:r w:rsidRPr="00B17D13">
        <w:rPr>
          <w:rFonts w:ascii="Arial" w:hAnsi="Arial" w:cs="Arial"/>
          <w:b/>
        </w:rPr>
        <w:t>Information requested: (2) Additionally, to provide clarification regarding how and where the local development plan’s policy position on camping provision should cross-refer to and be supported by more detailed considerations set out in supplementary guidance – and on what basis the terminology used in those documents varies from the terminology used on camping provision in the ‘Your Park’ document.</w:t>
      </w:r>
    </w:p>
    <w:p w:rsidR="00D573E7" w:rsidRDefault="00903D70" w:rsidP="00E85130">
      <w:pPr>
        <w:pStyle w:val="ListParagraph"/>
        <w:numPr>
          <w:ilvl w:val="1"/>
          <w:numId w:val="19"/>
        </w:numPr>
        <w:rPr>
          <w:rFonts w:ascii="Arial" w:hAnsi="Arial" w:cs="Arial"/>
        </w:rPr>
      </w:pPr>
      <w:r>
        <w:rPr>
          <w:rFonts w:ascii="Arial" w:hAnsi="Arial" w:cs="Arial"/>
        </w:rPr>
        <w:t>Currently the</w:t>
      </w:r>
      <w:r w:rsidR="00117FAB">
        <w:rPr>
          <w:rFonts w:ascii="Arial" w:hAnsi="Arial" w:cs="Arial"/>
        </w:rPr>
        <w:t xml:space="preserve"> </w:t>
      </w:r>
      <w:r w:rsidR="002044B8">
        <w:rPr>
          <w:rFonts w:ascii="Arial" w:hAnsi="Arial" w:cs="Arial"/>
        </w:rPr>
        <w:t>P</w:t>
      </w:r>
      <w:r w:rsidR="00117FAB">
        <w:rPr>
          <w:rFonts w:ascii="Arial" w:hAnsi="Arial" w:cs="Arial"/>
        </w:rPr>
        <w:t>LDP</w:t>
      </w:r>
      <w:r w:rsidR="00DD0345">
        <w:rPr>
          <w:rFonts w:ascii="Arial" w:hAnsi="Arial" w:cs="Arial"/>
        </w:rPr>
        <w:t xml:space="preserve"> cross-refers to the draft Visitor Experience Planning Guidance </w:t>
      </w:r>
      <w:r w:rsidR="00117FAB">
        <w:rPr>
          <w:rFonts w:ascii="Arial" w:hAnsi="Arial" w:cs="Arial"/>
        </w:rPr>
        <w:t>at the foot of p98 within the grey shaded box.</w:t>
      </w:r>
      <w:r w:rsidR="00444825">
        <w:rPr>
          <w:rFonts w:ascii="Arial" w:hAnsi="Arial" w:cs="Arial"/>
        </w:rPr>
        <w:t xml:space="preserve"> This is in keeping with the Plan’s approach across a number of topics.</w:t>
      </w:r>
      <w:r w:rsidR="00DD0345">
        <w:rPr>
          <w:rFonts w:ascii="Arial" w:hAnsi="Arial" w:cs="Arial"/>
        </w:rPr>
        <w:t xml:space="preserve"> </w:t>
      </w:r>
      <w:r w:rsidR="00DD0345" w:rsidRPr="00741865">
        <w:rPr>
          <w:rFonts w:ascii="Arial" w:hAnsi="Arial" w:cs="Arial"/>
        </w:rPr>
        <w:t>At present the text in the grey shaded box does not explicility state that the guidance covers more detailed considerations of camping provision.</w:t>
      </w:r>
      <w:r w:rsidR="00DD0345">
        <w:rPr>
          <w:rFonts w:ascii="Arial" w:hAnsi="Arial" w:cs="Arial"/>
        </w:rPr>
        <w:t xml:space="preserve"> </w:t>
      </w:r>
    </w:p>
    <w:p w:rsidR="00E85130" w:rsidRPr="00E85130" w:rsidRDefault="00E85130" w:rsidP="00E85130">
      <w:pPr>
        <w:pStyle w:val="ListParagraph"/>
        <w:ind w:left="435"/>
        <w:rPr>
          <w:rFonts w:ascii="Arial" w:hAnsi="Arial" w:cs="Arial"/>
        </w:rPr>
      </w:pPr>
    </w:p>
    <w:p w:rsidR="0087410E" w:rsidRDefault="00741865" w:rsidP="0087410E">
      <w:pPr>
        <w:pStyle w:val="ListParagraph"/>
        <w:numPr>
          <w:ilvl w:val="1"/>
          <w:numId w:val="19"/>
        </w:numPr>
        <w:rPr>
          <w:rFonts w:ascii="Arial" w:hAnsi="Arial" w:cs="Arial"/>
        </w:rPr>
      </w:pPr>
      <w:r>
        <w:rPr>
          <w:rFonts w:ascii="Arial" w:hAnsi="Arial"/>
        </w:rPr>
        <w:t>The</w:t>
      </w:r>
      <w:r w:rsidRPr="00C70743">
        <w:rPr>
          <w:rFonts w:ascii="Arial" w:hAnsi="Arial"/>
        </w:rPr>
        <w:t xml:space="preserve"> representations received on Issue 22 comment on the </w:t>
      </w:r>
      <w:r w:rsidR="002044B8">
        <w:rPr>
          <w:rFonts w:ascii="Arial" w:hAnsi="Arial"/>
        </w:rPr>
        <w:t>PLDP</w:t>
      </w:r>
      <w:r w:rsidR="002044B8" w:rsidRPr="00C70743">
        <w:rPr>
          <w:rFonts w:ascii="Arial" w:hAnsi="Arial"/>
        </w:rPr>
        <w:t xml:space="preserve"> </w:t>
      </w:r>
      <w:r w:rsidRPr="00C70743">
        <w:rPr>
          <w:rFonts w:ascii="Arial" w:hAnsi="Arial"/>
        </w:rPr>
        <w:t xml:space="preserve">and the supporting </w:t>
      </w:r>
      <w:r>
        <w:rPr>
          <w:rFonts w:ascii="Arial" w:hAnsi="Arial"/>
        </w:rPr>
        <w:t xml:space="preserve">draft </w:t>
      </w:r>
      <w:r>
        <w:rPr>
          <w:rFonts w:ascii="Arial" w:hAnsi="Arial" w:cs="Arial"/>
        </w:rPr>
        <w:t>Visitor Experience Planning Guidance but</w:t>
      </w:r>
      <w:r w:rsidRPr="00C70743">
        <w:rPr>
          <w:rFonts w:ascii="Arial" w:hAnsi="Arial"/>
        </w:rPr>
        <w:t xml:space="preserve"> it is our understanding that the Examination is only considering the representations to the </w:t>
      </w:r>
      <w:r>
        <w:rPr>
          <w:rFonts w:ascii="Arial" w:hAnsi="Arial"/>
        </w:rPr>
        <w:t>Plan.</w:t>
      </w:r>
      <w:r>
        <w:rPr>
          <w:rFonts w:ascii="Arial" w:hAnsi="Arial" w:cs="Arial"/>
        </w:rPr>
        <w:t xml:space="preserve"> </w:t>
      </w:r>
      <w:r w:rsidR="004E02D8" w:rsidRPr="00741865">
        <w:rPr>
          <w:rFonts w:ascii="Arial" w:hAnsi="Arial" w:cs="Arial"/>
        </w:rPr>
        <w:t xml:space="preserve">We have proposed in the Schedule 4 Report for Issue 22: Visitor Experience to introduce additional wording to LDP Visitor Experience Policy 1 (page 98) to support development which will help </w:t>
      </w:r>
      <w:r w:rsidR="004E02D8" w:rsidRPr="00741865">
        <w:rPr>
          <w:rFonts w:ascii="Arial" w:hAnsi="Arial" w:cs="Arial"/>
        </w:rPr>
        <w:lastRenderedPageBreak/>
        <w:t xml:space="preserve">deliver a visitor management strategy or action identified within the National Park Partnership Plan. This proposed modification is intended to </w:t>
      </w:r>
      <w:r w:rsidR="002044B8">
        <w:rPr>
          <w:rFonts w:ascii="Arial" w:hAnsi="Arial" w:cs="Arial"/>
        </w:rPr>
        <w:t>provide a link with the</w:t>
      </w:r>
      <w:r w:rsidR="004E02D8" w:rsidRPr="00741865">
        <w:rPr>
          <w:rFonts w:ascii="Arial" w:hAnsi="Arial" w:cs="Arial"/>
        </w:rPr>
        <w:t xml:space="preserve"> Your</w:t>
      </w:r>
      <w:r w:rsidR="0087410E">
        <w:rPr>
          <w:rFonts w:ascii="Arial" w:hAnsi="Arial" w:cs="Arial"/>
        </w:rPr>
        <w:t xml:space="preserve"> </w:t>
      </w:r>
      <w:r w:rsidR="004E02D8" w:rsidRPr="00741865">
        <w:rPr>
          <w:rFonts w:ascii="Arial" w:hAnsi="Arial" w:cs="Arial"/>
        </w:rPr>
        <w:t xml:space="preserve">Park </w:t>
      </w:r>
      <w:r w:rsidR="002044B8">
        <w:rPr>
          <w:rFonts w:ascii="Arial" w:hAnsi="Arial" w:cs="Arial"/>
        </w:rPr>
        <w:t>programme</w:t>
      </w:r>
      <w:r w:rsidR="004E02D8" w:rsidRPr="00741865">
        <w:rPr>
          <w:rFonts w:ascii="Arial" w:hAnsi="Arial" w:cs="Arial"/>
        </w:rPr>
        <w:t xml:space="preserve">, however it is worded more generically in order to provide policy provision for any other visitor management strategy/ies that may arise during the life of the </w:t>
      </w:r>
      <w:r w:rsidR="004A464C">
        <w:rPr>
          <w:rFonts w:ascii="Arial" w:hAnsi="Arial" w:cs="Arial"/>
        </w:rPr>
        <w:t>plan</w:t>
      </w:r>
      <w:r w:rsidR="0087410E">
        <w:rPr>
          <w:rFonts w:ascii="Arial" w:hAnsi="Arial" w:cs="Arial"/>
        </w:rPr>
        <w:t>.</w:t>
      </w:r>
    </w:p>
    <w:p w:rsidR="0087410E" w:rsidRPr="0087410E" w:rsidRDefault="0087410E" w:rsidP="0087410E">
      <w:pPr>
        <w:pStyle w:val="ListParagraph"/>
        <w:rPr>
          <w:rFonts w:ascii="Arial" w:hAnsi="Arial" w:cs="Arial"/>
        </w:rPr>
      </w:pPr>
    </w:p>
    <w:p w:rsidR="00D573E7" w:rsidRPr="0087410E" w:rsidRDefault="00741865" w:rsidP="0087410E">
      <w:pPr>
        <w:pStyle w:val="ListParagraph"/>
        <w:numPr>
          <w:ilvl w:val="1"/>
          <w:numId w:val="19"/>
        </w:numPr>
        <w:rPr>
          <w:rFonts w:ascii="Arial" w:hAnsi="Arial" w:cs="Arial"/>
        </w:rPr>
      </w:pPr>
      <w:r w:rsidRPr="0087410E">
        <w:rPr>
          <w:rFonts w:ascii="Arial" w:hAnsi="Arial" w:cs="Arial"/>
        </w:rPr>
        <w:t xml:space="preserve">During the preparation of the </w:t>
      </w:r>
      <w:r w:rsidR="0087410E" w:rsidRPr="0087410E">
        <w:rPr>
          <w:rFonts w:ascii="Arial" w:hAnsi="Arial" w:cs="Arial"/>
        </w:rPr>
        <w:t>P</w:t>
      </w:r>
      <w:r w:rsidRPr="0087410E">
        <w:rPr>
          <w:rFonts w:ascii="Arial" w:hAnsi="Arial" w:cs="Arial"/>
        </w:rPr>
        <w:t xml:space="preserve">LDP the Authority started to progress a priority in the Partnership Plan in respect of camping management. This programme of work, Your Park, has been progressing in parallel although </w:t>
      </w:r>
      <w:r w:rsidR="002044B8" w:rsidRPr="0087410E">
        <w:rPr>
          <w:rFonts w:ascii="Arial" w:hAnsi="Arial" w:cs="Arial"/>
        </w:rPr>
        <w:t xml:space="preserve">it is </w:t>
      </w:r>
      <w:r w:rsidRPr="0087410E">
        <w:rPr>
          <w:rFonts w:ascii="Arial" w:hAnsi="Arial" w:cs="Arial"/>
        </w:rPr>
        <w:t xml:space="preserve">separate. Our intention is to review the </w:t>
      </w:r>
      <w:r w:rsidR="002044B8" w:rsidRPr="0087410E">
        <w:rPr>
          <w:rFonts w:ascii="Arial" w:hAnsi="Arial" w:cs="Arial"/>
        </w:rPr>
        <w:t xml:space="preserve">draft </w:t>
      </w:r>
      <w:r w:rsidRPr="0087410E">
        <w:rPr>
          <w:rFonts w:ascii="Arial" w:hAnsi="Arial" w:cs="Arial"/>
        </w:rPr>
        <w:t xml:space="preserve">Visitor Experience planning guidance once the </w:t>
      </w:r>
      <w:r w:rsidR="0087410E" w:rsidRPr="0087410E">
        <w:rPr>
          <w:rFonts w:ascii="Arial" w:hAnsi="Arial" w:cs="Arial"/>
        </w:rPr>
        <w:t>PLDP</w:t>
      </w:r>
      <w:r w:rsidRPr="0087410E">
        <w:rPr>
          <w:rFonts w:ascii="Arial" w:hAnsi="Arial" w:cs="Arial"/>
        </w:rPr>
        <w:t xml:space="preserve"> is Adopted and address the comments raised</w:t>
      </w:r>
      <w:r w:rsidR="004A464C">
        <w:rPr>
          <w:rFonts w:ascii="Arial" w:hAnsi="Arial" w:cs="Arial"/>
        </w:rPr>
        <w:t xml:space="preserve"> in relation to terminology</w:t>
      </w:r>
      <w:r w:rsidR="002044B8" w:rsidRPr="0087410E">
        <w:rPr>
          <w:rFonts w:ascii="Arial" w:hAnsi="Arial" w:cs="Arial"/>
        </w:rPr>
        <w:t>.</w:t>
      </w:r>
      <w:r w:rsidRPr="0087410E">
        <w:rPr>
          <w:rFonts w:ascii="Arial" w:hAnsi="Arial" w:cs="Arial"/>
        </w:rPr>
        <w:t xml:space="preserve"> </w:t>
      </w:r>
    </w:p>
    <w:p w:rsidR="00A6667E" w:rsidRPr="00FF2FB1" w:rsidRDefault="007D31A7" w:rsidP="007D31A7">
      <w:pPr>
        <w:rPr>
          <w:rFonts w:ascii="Arial" w:hAnsi="Arial" w:cs="Arial"/>
        </w:rPr>
      </w:pPr>
      <w:r w:rsidRPr="00FF2FB1">
        <w:rPr>
          <w:rFonts w:ascii="Arial" w:hAnsi="Arial" w:cs="Arial"/>
          <w:b/>
        </w:rPr>
        <w:t xml:space="preserve">Information requested: (3) </w:t>
      </w:r>
      <w:r w:rsidR="00965D65" w:rsidRPr="00FF2FB1">
        <w:rPr>
          <w:rFonts w:ascii="Arial" w:hAnsi="Arial" w:cs="Arial"/>
          <w:b/>
        </w:rPr>
        <w:t xml:space="preserve">The explanations required by (1) and (2) should include possible wording that could be used in the proposed plan to allow users to better understand the approach of the Park Authority regarding camping provision. </w:t>
      </w:r>
    </w:p>
    <w:p w:rsidR="00D15499" w:rsidRPr="0087410E" w:rsidRDefault="00FF2FB1" w:rsidP="0087410E">
      <w:pPr>
        <w:pStyle w:val="ListParagraph"/>
        <w:numPr>
          <w:ilvl w:val="1"/>
          <w:numId w:val="19"/>
        </w:numPr>
        <w:tabs>
          <w:tab w:val="left" w:pos="4111"/>
        </w:tabs>
        <w:rPr>
          <w:rFonts w:ascii="Arial" w:hAnsi="Arial" w:cs="Arial"/>
        </w:rPr>
      </w:pPr>
      <w:r w:rsidRPr="0087410E">
        <w:rPr>
          <w:rFonts w:ascii="Arial" w:hAnsi="Arial" w:cs="Arial"/>
        </w:rPr>
        <w:t>Should the reporter consider that a more explicit cross reference to the more detailed considerations set out in the accompanying Planning (not supplementary) Guidance should be provided in the LDP this could be included by amending the text contained in the Planning Guidance grey shaded box at the foot of p98 of the LDP to read; “</w:t>
      </w:r>
      <w:r w:rsidRPr="0087410E">
        <w:rPr>
          <w:rFonts w:ascii="Arial" w:hAnsi="Arial" w:cs="Arial"/>
          <w:i/>
        </w:rPr>
        <w:t xml:space="preserve">Planning Guidance (Visitor Experience) provides definitions of what is meant by visitor facilities, accommodation and visitor infrastructure from hotels, self-catering units and campsites to piers, pontoons and picnic sites. It also defines the terminology used in Policy 1 including ‘safe walking distances’ and ‘small-scale’.  For Policy 2 there is also guidance on business statements and management plans.” </w:t>
      </w:r>
      <w:r w:rsidRPr="0087410E">
        <w:rPr>
          <w:rFonts w:ascii="Arial" w:hAnsi="Arial" w:cs="Arial"/>
        </w:rPr>
        <w:t xml:space="preserve">(It should be noted that the layout of this page at design stage has meant that the PG box sits under Policy 3 instead of Policy 1. This will be addressed in the re-design of the Local Development Plan post examinations stage). </w:t>
      </w:r>
    </w:p>
    <w:p w:rsidR="004E02D8" w:rsidRDefault="004E02D8" w:rsidP="00E85130">
      <w:pPr>
        <w:pStyle w:val="ListParagraph"/>
        <w:tabs>
          <w:tab w:val="left" w:pos="4111"/>
        </w:tabs>
        <w:ind w:left="530"/>
        <w:rPr>
          <w:rFonts w:ascii="Arial" w:hAnsi="Arial" w:cs="Arial"/>
        </w:rPr>
      </w:pPr>
    </w:p>
    <w:p w:rsidR="004E02D8" w:rsidRDefault="00741865" w:rsidP="0087410E">
      <w:pPr>
        <w:pStyle w:val="ListParagraph"/>
        <w:numPr>
          <w:ilvl w:val="1"/>
          <w:numId w:val="19"/>
        </w:numPr>
        <w:tabs>
          <w:tab w:val="left" w:pos="4111"/>
        </w:tabs>
        <w:rPr>
          <w:rFonts w:ascii="Arial" w:hAnsi="Arial" w:cs="Arial"/>
        </w:rPr>
      </w:pPr>
      <w:r>
        <w:rPr>
          <w:rFonts w:ascii="Arial" w:hAnsi="Arial" w:cs="Arial"/>
        </w:rPr>
        <w:t>As stated above, o</w:t>
      </w:r>
      <w:r w:rsidR="004E02D8">
        <w:rPr>
          <w:rFonts w:ascii="Arial" w:hAnsi="Arial" w:cs="Arial"/>
        </w:rPr>
        <w:t xml:space="preserve">ur intention is to review the </w:t>
      </w:r>
      <w:r w:rsidR="002044B8">
        <w:rPr>
          <w:rFonts w:ascii="Arial" w:hAnsi="Arial" w:cs="Arial"/>
        </w:rPr>
        <w:t>dr</w:t>
      </w:r>
      <w:r w:rsidR="0087410E">
        <w:rPr>
          <w:rFonts w:ascii="Arial" w:hAnsi="Arial" w:cs="Arial"/>
        </w:rPr>
        <w:t>a</w:t>
      </w:r>
      <w:r w:rsidR="002044B8">
        <w:rPr>
          <w:rFonts w:ascii="Arial" w:hAnsi="Arial" w:cs="Arial"/>
        </w:rPr>
        <w:t xml:space="preserve">ft </w:t>
      </w:r>
      <w:r w:rsidR="004E02D8">
        <w:rPr>
          <w:rFonts w:ascii="Arial" w:hAnsi="Arial" w:cs="Arial"/>
        </w:rPr>
        <w:t xml:space="preserve">Visitor Experience planning guidance once </w:t>
      </w:r>
      <w:r w:rsidR="00945D48">
        <w:rPr>
          <w:rFonts w:ascii="Arial" w:hAnsi="Arial" w:cs="Arial"/>
        </w:rPr>
        <w:t xml:space="preserve">the </w:t>
      </w:r>
      <w:r w:rsidR="0087410E">
        <w:rPr>
          <w:rFonts w:ascii="Arial" w:hAnsi="Arial" w:cs="Arial"/>
        </w:rPr>
        <w:t>PLDP</w:t>
      </w:r>
      <w:r w:rsidR="00945D48">
        <w:rPr>
          <w:rFonts w:ascii="Arial" w:hAnsi="Arial" w:cs="Arial"/>
        </w:rPr>
        <w:t xml:space="preserve"> is Adopted</w:t>
      </w:r>
      <w:r>
        <w:rPr>
          <w:rFonts w:ascii="Arial" w:hAnsi="Arial" w:cs="Arial"/>
        </w:rPr>
        <w:t xml:space="preserve"> and therefore no recommendations for changes to wording within the guidance is proposed at this stage.</w:t>
      </w:r>
    </w:p>
    <w:p w:rsidR="00D573E7" w:rsidRDefault="00D573E7" w:rsidP="00D573E7">
      <w:pPr>
        <w:pStyle w:val="ListParagraph"/>
        <w:tabs>
          <w:tab w:val="left" w:pos="4111"/>
        </w:tabs>
        <w:ind w:left="530"/>
        <w:rPr>
          <w:rFonts w:ascii="Arial" w:hAnsi="Arial" w:cs="Arial"/>
        </w:rPr>
      </w:pPr>
    </w:p>
    <w:p w:rsidR="00CD6059" w:rsidRPr="005F4E29" w:rsidRDefault="00CD6059" w:rsidP="00E85130">
      <w:pPr>
        <w:pStyle w:val="ListParagraph"/>
        <w:rPr>
          <w:rFonts w:ascii="Arial" w:hAnsi="Arial" w:cs="Arial"/>
        </w:rPr>
      </w:pPr>
    </w:p>
    <w:sectPr w:rsidR="00CD6059" w:rsidRPr="005F4E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DD" w:rsidRDefault="007669DD" w:rsidP="000472DF">
      <w:pPr>
        <w:spacing w:after="0" w:line="240" w:lineRule="auto"/>
      </w:pPr>
      <w:r>
        <w:separator/>
      </w:r>
    </w:p>
  </w:endnote>
  <w:endnote w:type="continuationSeparator" w:id="0">
    <w:p w:rsidR="007669DD" w:rsidRDefault="007669DD" w:rsidP="0004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11188"/>
      <w:docPartObj>
        <w:docPartGallery w:val="Page Numbers (Bottom of Page)"/>
        <w:docPartUnique/>
      </w:docPartObj>
    </w:sdtPr>
    <w:sdtEndPr>
      <w:rPr>
        <w:noProof/>
      </w:rPr>
    </w:sdtEndPr>
    <w:sdtContent>
      <w:p w:rsidR="0087410E" w:rsidRDefault="0087410E">
        <w:pPr>
          <w:pStyle w:val="Footer"/>
          <w:jc w:val="center"/>
        </w:pPr>
        <w:r>
          <w:fldChar w:fldCharType="begin"/>
        </w:r>
        <w:r>
          <w:instrText xml:space="preserve"> PAGE   \* MERGEFORMAT </w:instrText>
        </w:r>
        <w:r>
          <w:fldChar w:fldCharType="separate"/>
        </w:r>
        <w:r w:rsidR="00412958">
          <w:rPr>
            <w:noProof/>
          </w:rPr>
          <w:t>1</w:t>
        </w:r>
        <w:r>
          <w:rPr>
            <w:noProof/>
          </w:rPr>
          <w:fldChar w:fldCharType="end"/>
        </w:r>
      </w:p>
    </w:sdtContent>
  </w:sdt>
  <w:p w:rsidR="0087410E" w:rsidRDefault="0087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DD" w:rsidRDefault="007669DD" w:rsidP="000472DF">
      <w:pPr>
        <w:spacing w:after="0" w:line="240" w:lineRule="auto"/>
      </w:pPr>
      <w:r>
        <w:separator/>
      </w:r>
    </w:p>
  </w:footnote>
  <w:footnote w:type="continuationSeparator" w:id="0">
    <w:p w:rsidR="007669DD" w:rsidRDefault="007669DD" w:rsidP="00047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11EB"/>
    <w:multiLevelType w:val="hybridMultilevel"/>
    <w:tmpl w:val="1AB84C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648D1"/>
    <w:multiLevelType w:val="multilevel"/>
    <w:tmpl w:val="30D858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C32C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444184A"/>
    <w:multiLevelType w:val="multilevel"/>
    <w:tmpl w:val="2FBE187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D7C92"/>
    <w:multiLevelType w:val="hybridMultilevel"/>
    <w:tmpl w:val="84E60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124704"/>
    <w:multiLevelType w:val="multilevel"/>
    <w:tmpl w:val="D77A17F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B5A45"/>
    <w:multiLevelType w:val="multilevel"/>
    <w:tmpl w:val="9BA0F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E0C9B"/>
    <w:multiLevelType w:val="multilevel"/>
    <w:tmpl w:val="6F965B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7129E3"/>
    <w:multiLevelType w:val="hybridMultilevel"/>
    <w:tmpl w:val="3272AD6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283124A5"/>
    <w:multiLevelType w:val="multilevel"/>
    <w:tmpl w:val="58AAD49E"/>
    <w:lvl w:ilvl="0">
      <w:start w:val="1"/>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0" w15:restartNumberingAfterBreak="0">
    <w:nsid w:val="316F2166"/>
    <w:multiLevelType w:val="multilevel"/>
    <w:tmpl w:val="B3FEC092"/>
    <w:lvl w:ilvl="0">
      <w:start w:val="1"/>
      <w:numFmt w:val="decimal"/>
      <w:lvlText w:val="%1"/>
      <w:lvlJc w:val="left"/>
      <w:pPr>
        <w:ind w:left="360" w:hanging="360"/>
      </w:pPr>
      <w:rPr>
        <w:rFonts w:hint="default"/>
      </w:rPr>
    </w:lvl>
    <w:lvl w:ilvl="1">
      <w:start w:val="6"/>
      <w:numFmt w:val="decimal"/>
      <w:lvlText w:val="%1.%2"/>
      <w:lvlJc w:val="left"/>
      <w:pPr>
        <w:ind w:left="72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3150EE"/>
    <w:multiLevelType w:val="multilevel"/>
    <w:tmpl w:val="30D858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B261D5"/>
    <w:multiLevelType w:val="multilevel"/>
    <w:tmpl w:val="3BD00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F261B"/>
    <w:multiLevelType w:val="multilevel"/>
    <w:tmpl w:val="22FC81B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585D206E"/>
    <w:multiLevelType w:val="hybridMultilevel"/>
    <w:tmpl w:val="B97A2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63D43"/>
    <w:multiLevelType w:val="multilevel"/>
    <w:tmpl w:val="8FDC62CE"/>
    <w:lvl w:ilvl="0">
      <w:start w:val="1"/>
      <w:numFmt w:val="decimal"/>
      <w:lvlText w:val="%1"/>
      <w:lvlJc w:val="left"/>
      <w:pPr>
        <w:ind w:left="360" w:hanging="360"/>
      </w:pPr>
      <w:rPr>
        <w:rFonts w:hint="default"/>
      </w:rPr>
    </w:lvl>
    <w:lvl w:ilvl="1">
      <w:start w:val="2"/>
      <w:numFmt w:val="decimal"/>
      <w:lvlText w:val="%1.%2"/>
      <w:lvlJc w:val="left"/>
      <w:pPr>
        <w:ind w:left="720" w:hanging="55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38195B"/>
    <w:multiLevelType w:val="hybridMultilevel"/>
    <w:tmpl w:val="7A605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3F31A7"/>
    <w:multiLevelType w:val="multilevel"/>
    <w:tmpl w:val="3F82EA9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5E3B0A"/>
    <w:multiLevelType w:val="multilevel"/>
    <w:tmpl w:val="58AAD49E"/>
    <w:lvl w:ilvl="0">
      <w:start w:val="1"/>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9" w15:restartNumberingAfterBreak="0">
    <w:nsid w:val="78360EC1"/>
    <w:multiLevelType w:val="multilevel"/>
    <w:tmpl w:val="4F7817AC"/>
    <w:lvl w:ilvl="0">
      <w:start w:val="1"/>
      <w:numFmt w:val="decimal"/>
      <w:lvlText w:val="%1"/>
      <w:lvlJc w:val="left"/>
      <w:pPr>
        <w:ind w:left="360" w:hanging="360"/>
      </w:pPr>
      <w:rPr>
        <w:rFonts w:hint="default"/>
      </w:rPr>
    </w:lvl>
    <w:lvl w:ilvl="1">
      <w:start w:val="3"/>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0" w15:restartNumberingAfterBreak="0">
    <w:nsid w:val="7EB238BF"/>
    <w:multiLevelType w:val="multilevel"/>
    <w:tmpl w:val="22FC81B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0"/>
  </w:num>
  <w:num w:numId="2">
    <w:abstractNumId w:val="4"/>
  </w:num>
  <w:num w:numId="3">
    <w:abstractNumId w:val="2"/>
  </w:num>
  <w:num w:numId="4">
    <w:abstractNumId w:val="3"/>
  </w:num>
  <w:num w:numId="5">
    <w:abstractNumId w:val="0"/>
  </w:num>
  <w:num w:numId="6">
    <w:abstractNumId w:val="17"/>
  </w:num>
  <w:num w:numId="7">
    <w:abstractNumId w:val="6"/>
  </w:num>
  <w:num w:numId="8">
    <w:abstractNumId w:val="7"/>
  </w:num>
  <w:num w:numId="9">
    <w:abstractNumId w:val="16"/>
  </w:num>
  <w:num w:numId="10">
    <w:abstractNumId w:val="13"/>
  </w:num>
  <w:num w:numId="11">
    <w:abstractNumId w:val="15"/>
  </w:num>
  <w:num w:numId="12">
    <w:abstractNumId w:val="8"/>
  </w:num>
  <w:num w:numId="13">
    <w:abstractNumId w:val="12"/>
  </w:num>
  <w:num w:numId="14">
    <w:abstractNumId w:val="10"/>
  </w:num>
  <w:num w:numId="15">
    <w:abstractNumId w:val="19"/>
  </w:num>
  <w:num w:numId="16">
    <w:abstractNumId w:val="18"/>
  </w:num>
  <w:num w:numId="17">
    <w:abstractNumId w:val="9"/>
  </w:num>
  <w:num w:numId="18">
    <w:abstractNumId w:val="14"/>
  </w:num>
  <w:num w:numId="19">
    <w:abstractNumId w:val="5"/>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2"/>
    <w:rsid w:val="00007827"/>
    <w:rsid w:val="00034C68"/>
    <w:rsid w:val="000472DF"/>
    <w:rsid w:val="000811FE"/>
    <w:rsid w:val="00082E69"/>
    <w:rsid w:val="00094F87"/>
    <w:rsid w:val="000A53C5"/>
    <w:rsid w:val="000A6D7B"/>
    <w:rsid w:val="000D0239"/>
    <w:rsid w:val="000D0F4E"/>
    <w:rsid w:val="000E2C44"/>
    <w:rsid w:val="000E4326"/>
    <w:rsid w:val="000E6F0B"/>
    <w:rsid w:val="000F0FA6"/>
    <w:rsid w:val="00104D00"/>
    <w:rsid w:val="00117FAB"/>
    <w:rsid w:val="00147A4C"/>
    <w:rsid w:val="001502C1"/>
    <w:rsid w:val="001523A7"/>
    <w:rsid w:val="00156FFC"/>
    <w:rsid w:val="001600E3"/>
    <w:rsid w:val="0017031C"/>
    <w:rsid w:val="00181AFC"/>
    <w:rsid w:val="00181E6E"/>
    <w:rsid w:val="00184F2E"/>
    <w:rsid w:val="00185136"/>
    <w:rsid w:val="001D1559"/>
    <w:rsid w:val="001D56AD"/>
    <w:rsid w:val="001D746E"/>
    <w:rsid w:val="001F7AE8"/>
    <w:rsid w:val="002044B8"/>
    <w:rsid w:val="002114D8"/>
    <w:rsid w:val="00224C7B"/>
    <w:rsid w:val="0023293A"/>
    <w:rsid w:val="002442AE"/>
    <w:rsid w:val="00250DF9"/>
    <w:rsid w:val="0025591C"/>
    <w:rsid w:val="00257807"/>
    <w:rsid w:val="00267EB9"/>
    <w:rsid w:val="00282232"/>
    <w:rsid w:val="002866F0"/>
    <w:rsid w:val="002A79AF"/>
    <w:rsid w:val="002B47F0"/>
    <w:rsid w:val="002C6006"/>
    <w:rsid w:val="002D2438"/>
    <w:rsid w:val="002D6844"/>
    <w:rsid w:val="002E0C6E"/>
    <w:rsid w:val="002E13B4"/>
    <w:rsid w:val="002F0F03"/>
    <w:rsid w:val="00306E12"/>
    <w:rsid w:val="00335B03"/>
    <w:rsid w:val="00342E2A"/>
    <w:rsid w:val="00372EB2"/>
    <w:rsid w:val="003968EC"/>
    <w:rsid w:val="003A6A43"/>
    <w:rsid w:val="003C2411"/>
    <w:rsid w:val="003C31C3"/>
    <w:rsid w:val="003C380B"/>
    <w:rsid w:val="003C61FA"/>
    <w:rsid w:val="003E2502"/>
    <w:rsid w:val="003E362B"/>
    <w:rsid w:val="00400CC3"/>
    <w:rsid w:val="0040213B"/>
    <w:rsid w:val="00412958"/>
    <w:rsid w:val="0043333A"/>
    <w:rsid w:val="00440EAB"/>
    <w:rsid w:val="00444825"/>
    <w:rsid w:val="00461387"/>
    <w:rsid w:val="00463D31"/>
    <w:rsid w:val="004653FD"/>
    <w:rsid w:val="00465A6F"/>
    <w:rsid w:val="00465D34"/>
    <w:rsid w:val="004755C7"/>
    <w:rsid w:val="00482785"/>
    <w:rsid w:val="004A464C"/>
    <w:rsid w:val="004E02D8"/>
    <w:rsid w:val="004F0486"/>
    <w:rsid w:val="004F10B4"/>
    <w:rsid w:val="005602D5"/>
    <w:rsid w:val="005779FC"/>
    <w:rsid w:val="00590C1F"/>
    <w:rsid w:val="00594392"/>
    <w:rsid w:val="00597B48"/>
    <w:rsid w:val="005B4175"/>
    <w:rsid w:val="005B744B"/>
    <w:rsid w:val="005E247D"/>
    <w:rsid w:val="005F4E29"/>
    <w:rsid w:val="0062243C"/>
    <w:rsid w:val="00640893"/>
    <w:rsid w:val="00643A0F"/>
    <w:rsid w:val="006559B2"/>
    <w:rsid w:val="00676ABE"/>
    <w:rsid w:val="0068318E"/>
    <w:rsid w:val="00695E2A"/>
    <w:rsid w:val="006C26D0"/>
    <w:rsid w:val="006C4556"/>
    <w:rsid w:val="006C760A"/>
    <w:rsid w:val="006D483B"/>
    <w:rsid w:val="006F5DCC"/>
    <w:rsid w:val="00716984"/>
    <w:rsid w:val="00741865"/>
    <w:rsid w:val="00761ED2"/>
    <w:rsid w:val="00761FEA"/>
    <w:rsid w:val="00765199"/>
    <w:rsid w:val="007669DD"/>
    <w:rsid w:val="00795F45"/>
    <w:rsid w:val="007A758F"/>
    <w:rsid w:val="007B4C22"/>
    <w:rsid w:val="007D1412"/>
    <w:rsid w:val="007D31A7"/>
    <w:rsid w:val="007E0D26"/>
    <w:rsid w:val="007F544F"/>
    <w:rsid w:val="0080375D"/>
    <w:rsid w:val="00817557"/>
    <w:rsid w:val="00822447"/>
    <w:rsid w:val="008263FF"/>
    <w:rsid w:val="0086642C"/>
    <w:rsid w:val="0087410E"/>
    <w:rsid w:val="00874B93"/>
    <w:rsid w:val="008B011C"/>
    <w:rsid w:val="008B5F66"/>
    <w:rsid w:val="008C1804"/>
    <w:rsid w:val="008F02C6"/>
    <w:rsid w:val="008F61B0"/>
    <w:rsid w:val="00903D70"/>
    <w:rsid w:val="00915179"/>
    <w:rsid w:val="009159C1"/>
    <w:rsid w:val="00922941"/>
    <w:rsid w:val="009232BA"/>
    <w:rsid w:val="009367AE"/>
    <w:rsid w:val="009409E2"/>
    <w:rsid w:val="009430F6"/>
    <w:rsid w:val="00945D48"/>
    <w:rsid w:val="00965D65"/>
    <w:rsid w:val="0099199F"/>
    <w:rsid w:val="00993E39"/>
    <w:rsid w:val="009C165D"/>
    <w:rsid w:val="009C4944"/>
    <w:rsid w:val="00A04DFD"/>
    <w:rsid w:val="00A059D2"/>
    <w:rsid w:val="00A23FD8"/>
    <w:rsid w:val="00A3346E"/>
    <w:rsid w:val="00A3429D"/>
    <w:rsid w:val="00A42697"/>
    <w:rsid w:val="00A52029"/>
    <w:rsid w:val="00A6667E"/>
    <w:rsid w:val="00A73E3E"/>
    <w:rsid w:val="00A749B9"/>
    <w:rsid w:val="00A938F9"/>
    <w:rsid w:val="00A963D9"/>
    <w:rsid w:val="00AA4EE3"/>
    <w:rsid w:val="00AC3F49"/>
    <w:rsid w:val="00AD00C4"/>
    <w:rsid w:val="00AD4EDA"/>
    <w:rsid w:val="00AE11CD"/>
    <w:rsid w:val="00AE42A3"/>
    <w:rsid w:val="00AF11EC"/>
    <w:rsid w:val="00AF21FB"/>
    <w:rsid w:val="00AF38EA"/>
    <w:rsid w:val="00AF391E"/>
    <w:rsid w:val="00B0143D"/>
    <w:rsid w:val="00B17D13"/>
    <w:rsid w:val="00B2576E"/>
    <w:rsid w:val="00B31405"/>
    <w:rsid w:val="00B35CD2"/>
    <w:rsid w:val="00B4749E"/>
    <w:rsid w:val="00B50DC0"/>
    <w:rsid w:val="00B67B5F"/>
    <w:rsid w:val="00B71EB6"/>
    <w:rsid w:val="00B850B3"/>
    <w:rsid w:val="00B9162F"/>
    <w:rsid w:val="00BA106C"/>
    <w:rsid w:val="00BA3A9B"/>
    <w:rsid w:val="00BA3CE5"/>
    <w:rsid w:val="00BA3E16"/>
    <w:rsid w:val="00BE1D20"/>
    <w:rsid w:val="00BE6F18"/>
    <w:rsid w:val="00BF56FB"/>
    <w:rsid w:val="00C045DD"/>
    <w:rsid w:val="00C31EA4"/>
    <w:rsid w:val="00C637C4"/>
    <w:rsid w:val="00C86CA4"/>
    <w:rsid w:val="00C87E05"/>
    <w:rsid w:val="00C91A27"/>
    <w:rsid w:val="00CA4289"/>
    <w:rsid w:val="00CA5DD7"/>
    <w:rsid w:val="00CB077D"/>
    <w:rsid w:val="00CB4D0D"/>
    <w:rsid w:val="00CD6059"/>
    <w:rsid w:val="00CE7655"/>
    <w:rsid w:val="00D15499"/>
    <w:rsid w:val="00D42A61"/>
    <w:rsid w:val="00D55043"/>
    <w:rsid w:val="00D573E7"/>
    <w:rsid w:val="00D62589"/>
    <w:rsid w:val="00D75ADE"/>
    <w:rsid w:val="00D9009A"/>
    <w:rsid w:val="00DA07FB"/>
    <w:rsid w:val="00DA0FF9"/>
    <w:rsid w:val="00DA26C4"/>
    <w:rsid w:val="00DA500C"/>
    <w:rsid w:val="00DA7C4A"/>
    <w:rsid w:val="00DB48F9"/>
    <w:rsid w:val="00DC3158"/>
    <w:rsid w:val="00DC6A24"/>
    <w:rsid w:val="00DC6BB0"/>
    <w:rsid w:val="00DD0345"/>
    <w:rsid w:val="00DD1B86"/>
    <w:rsid w:val="00DD6039"/>
    <w:rsid w:val="00DE4E87"/>
    <w:rsid w:val="00DE50DD"/>
    <w:rsid w:val="00DF7344"/>
    <w:rsid w:val="00E00324"/>
    <w:rsid w:val="00E05434"/>
    <w:rsid w:val="00E05EE8"/>
    <w:rsid w:val="00E10617"/>
    <w:rsid w:val="00E203EA"/>
    <w:rsid w:val="00E451BC"/>
    <w:rsid w:val="00E7344E"/>
    <w:rsid w:val="00E742C8"/>
    <w:rsid w:val="00E772A4"/>
    <w:rsid w:val="00E81782"/>
    <w:rsid w:val="00E85130"/>
    <w:rsid w:val="00E935EF"/>
    <w:rsid w:val="00E93B07"/>
    <w:rsid w:val="00EA226B"/>
    <w:rsid w:val="00EB3382"/>
    <w:rsid w:val="00EC1326"/>
    <w:rsid w:val="00EE0C85"/>
    <w:rsid w:val="00EF0831"/>
    <w:rsid w:val="00EF3A94"/>
    <w:rsid w:val="00EF472E"/>
    <w:rsid w:val="00EF66FE"/>
    <w:rsid w:val="00EF7DBD"/>
    <w:rsid w:val="00F01FF0"/>
    <w:rsid w:val="00F022B1"/>
    <w:rsid w:val="00F125F1"/>
    <w:rsid w:val="00F210DC"/>
    <w:rsid w:val="00F217D7"/>
    <w:rsid w:val="00F2479D"/>
    <w:rsid w:val="00F27FB6"/>
    <w:rsid w:val="00F50347"/>
    <w:rsid w:val="00FA4165"/>
    <w:rsid w:val="00FB1640"/>
    <w:rsid w:val="00FB3DFD"/>
    <w:rsid w:val="00FC6555"/>
    <w:rsid w:val="00FE53C6"/>
    <w:rsid w:val="00FF2FB1"/>
    <w:rsid w:val="00FF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D60AB-B84F-4BD2-BDC2-5C2FCD13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326"/>
    <w:pPr>
      <w:ind w:left="720"/>
      <w:contextualSpacing/>
    </w:pPr>
  </w:style>
  <w:style w:type="paragraph" w:styleId="Header">
    <w:name w:val="header"/>
    <w:basedOn w:val="Normal"/>
    <w:link w:val="HeaderChar"/>
    <w:uiPriority w:val="99"/>
    <w:unhideWhenUsed/>
    <w:rsid w:val="0004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DF"/>
  </w:style>
  <w:style w:type="paragraph" w:styleId="Footer">
    <w:name w:val="footer"/>
    <w:basedOn w:val="Normal"/>
    <w:link w:val="FooterChar"/>
    <w:uiPriority w:val="99"/>
    <w:unhideWhenUsed/>
    <w:rsid w:val="0004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DF"/>
  </w:style>
  <w:style w:type="character" w:styleId="CommentReference">
    <w:name w:val="annotation reference"/>
    <w:basedOn w:val="DefaultParagraphFont"/>
    <w:uiPriority w:val="99"/>
    <w:semiHidden/>
    <w:unhideWhenUsed/>
    <w:rsid w:val="00716984"/>
    <w:rPr>
      <w:sz w:val="16"/>
      <w:szCs w:val="16"/>
    </w:rPr>
  </w:style>
  <w:style w:type="paragraph" w:styleId="CommentText">
    <w:name w:val="annotation text"/>
    <w:basedOn w:val="Normal"/>
    <w:link w:val="CommentTextChar"/>
    <w:uiPriority w:val="99"/>
    <w:semiHidden/>
    <w:unhideWhenUsed/>
    <w:rsid w:val="00716984"/>
    <w:pPr>
      <w:spacing w:line="240" w:lineRule="auto"/>
    </w:pPr>
    <w:rPr>
      <w:sz w:val="20"/>
      <w:szCs w:val="20"/>
    </w:rPr>
  </w:style>
  <w:style w:type="character" w:customStyle="1" w:styleId="CommentTextChar">
    <w:name w:val="Comment Text Char"/>
    <w:basedOn w:val="DefaultParagraphFont"/>
    <w:link w:val="CommentText"/>
    <w:uiPriority w:val="99"/>
    <w:semiHidden/>
    <w:rsid w:val="00716984"/>
    <w:rPr>
      <w:sz w:val="20"/>
      <w:szCs w:val="20"/>
    </w:rPr>
  </w:style>
  <w:style w:type="character" w:styleId="Hyperlink">
    <w:name w:val="Hyperlink"/>
    <w:basedOn w:val="DefaultParagraphFont"/>
    <w:uiPriority w:val="99"/>
    <w:unhideWhenUsed/>
    <w:rsid w:val="00716984"/>
    <w:rPr>
      <w:color w:val="0000FF" w:themeColor="hyperlink"/>
      <w:u w:val="single"/>
    </w:rPr>
  </w:style>
  <w:style w:type="paragraph" w:styleId="BalloonText">
    <w:name w:val="Balloon Text"/>
    <w:basedOn w:val="Normal"/>
    <w:link w:val="BalloonTextChar"/>
    <w:uiPriority w:val="99"/>
    <w:semiHidden/>
    <w:unhideWhenUsed/>
    <w:rsid w:val="0071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4"/>
    <w:rPr>
      <w:rFonts w:ascii="Tahoma" w:hAnsi="Tahoma" w:cs="Tahoma"/>
      <w:sz w:val="16"/>
      <w:szCs w:val="16"/>
    </w:rPr>
  </w:style>
  <w:style w:type="character" w:styleId="FollowedHyperlink">
    <w:name w:val="FollowedHyperlink"/>
    <w:basedOn w:val="DefaultParagraphFont"/>
    <w:uiPriority w:val="99"/>
    <w:semiHidden/>
    <w:unhideWhenUsed/>
    <w:rsid w:val="0071698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5F66"/>
    <w:rPr>
      <w:b/>
      <w:bCs/>
    </w:rPr>
  </w:style>
  <w:style w:type="character" w:customStyle="1" w:styleId="CommentSubjectChar">
    <w:name w:val="Comment Subject Char"/>
    <w:basedOn w:val="CommentTextChar"/>
    <w:link w:val="CommentSubject"/>
    <w:uiPriority w:val="99"/>
    <w:semiHidden/>
    <w:rsid w:val="008B5F66"/>
    <w:rPr>
      <w:b/>
      <w:bCs/>
      <w:sz w:val="20"/>
      <w:szCs w:val="20"/>
    </w:rPr>
  </w:style>
  <w:style w:type="paragraph" w:styleId="Revision">
    <w:name w:val="Revision"/>
    <w:hidden/>
    <w:uiPriority w:val="99"/>
    <w:semiHidden/>
    <w:rsid w:val="00255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CC42-09F0-48EA-B699-DC19C7B8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Loch Lomond National Park</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Killen</dc:creator>
  <cp:lastModifiedBy>Nick Kempe</cp:lastModifiedBy>
  <cp:revision>2</cp:revision>
  <cp:lastPrinted>2016-07-19T10:36:00Z</cp:lastPrinted>
  <dcterms:created xsi:type="dcterms:W3CDTF">2016-07-24T14:30:00Z</dcterms:created>
  <dcterms:modified xsi:type="dcterms:W3CDTF">2016-07-24T14:30:00Z</dcterms:modified>
</cp:coreProperties>
</file>